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28" w:rsidRPr="00B2374D" w:rsidRDefault="000D5028" w:rsidP="000D5028">
      <w:pPr>
        <w:ind w:right="16"/>
        <w:jc w:val="right"/>
        <w:rPr>
          <w:sz w:val="24"/>
          <w:szCs w:val="24"/>
        </w:rPr>
      </w:pPr>
    </w:p>
    <w:p w:rsidR="000D5028" w:rsidRPr="00B2374D" w:rsidRDefault="000D5028" w:rsidP="00651A58">
      <w:pPr>
        <w:autoSpaceDE w:val="0"/>
        <w:autoSpaceDN w:val="0"/>
        <w:adjustRightInd w:val="0"/>
        <w:ind w:left="283" w:right="-1050"/>
        <w:jc w:val="center"/>
        <w:rPr>
          <w:b/>
          <w:bCs/>
          <w:sz w:val="24"/>
          <w:szCs w:val="24"/>
        </w:rPr>
      </w:pPr>
      <w:r w:rsidRPr="00B2374D">
        <w:rPr>
          <w:b/>
          <w:bCs/>
          <w:sz w:val="24"/>
          <w:szCs w:val="24"/>
        </w:rPr>
        <w:t xml:space="preserve">LĪGUMS Nr. </w:t>
      </w:r>
      <w:r w:rsidR="00B2379A">
        <w:rPr>
          <w:b/>
          <w:bCs/>
          <w:sz w:val="24"/>
          <w:szCs w:val="24"/>
        </w:rPr>
        <w:t>8.4/525</w:t>
      </w:r>
      <w:r w:rsidRPr="00B2374D">
        <w:rPr>
          <w:b/>
          <w:bCs/>
          <w:sz w:val="24"/>
          <w:szCs w:val="24"/>
        </w:rPr>
        <w:t xml:space="preserve"> </w:t>
      </w:r>
    </w:p>
    <w:p w:rsidR="000D5028" w:rsidRPr="00B2374D" w:rsidRDefault="000D5028" w:rsidP="00304B6B">
      <w:pPr>
        <w:tabs>
          <w:tab w:val="left" w:pos="8640"/>
        </w:tabs>
        <w:autoSpaceDE w:val="0"/>
        <w:autoSpaceDN w:val="0"/>
        <w:adjustRightInd w:val="0"/>
        <w:spacing w:after="120"/>
        <w:ind w:left="284" w:right="-1049"/>
        <w:jc w:val="center"/>
        <w:rPr>
          <w:b/>
          <w:bCs/>
          <w:sz w:val="24"/>
          <w:szCs w:val="24"/>
        </w:rPr>
      </w:pPr>
      <w:r w:rsidRPr="00B2374D">
        <w:rPr>
          <w:b/>
          <w:bCs/>
          <w:sz w:val="24"/>
          <w:szCs w:val="24"/>
        </w:rPr>
        <w:t>par skatuves un tehniskā aprīkojuma nodrošinājumu</w:t>
      </w:r>
    </w:p>
    <w:p w:rsidR="000D5028" w:rsidRPr="00B2374D" w:rsidRDefault="000D5028" w:rsidP="00304B6B">
      <w:pPr>
        <w:autoSpaceDE w:val="0"/>
        <w:autoSpaceDN w:val="0"/>
        <w:adjustRightInd w:val="0"/>
        <w:spacing w:after="120"/>
        <w:ind w:right="-1049"/>
        <w:jc w:val="both"/>
        <w:rPr>
          <w:sz w:val="24"/>
          <w:szCs w:val="24"/>
        </w:rPr>
      </w:pPr>
      <w:r w:rsidRPr="00B2374D">
        <w:rPr>
          <w:sz w:val="24"/>
          <w:szCs w:val="24"/>
        </w:rPr>
        <w:t>Rēzeknē</w:t>
      </w:r>
      <w:r w:rsidRPr="00B2374D">
        <w:rPr>
          <w:sz w:val="24"/>
          <w:szCs w:val="24"/>
        </w:rPr>
        <w:tab/>
      </w:r>
      <w:r w:rsidRPr="00B2374D">
        <w:rPr>
          <w:sz w:val="24"/>
          <w:szCs w:val="24"/>
        </w:rPr>
        <w:tab/>
        <w:t xml:space="preserve">                                          </w:t>
      </w:r>
      <w:r>
        <w:rPr>
          <w:sz w:val="24"/>
          <w:szCs w:val="24"/>
        </w:rPr>
        <w:t xml:space="preserve">          </w:t>
      </w:r>
      <w:r w:rsidRPr="00B2374D">
        <w:rPr>
          <w:sz w:val="24"/>
          <w:szCs w:val="24"/>
        </w:rPr>
        <w:t xml:space="preserve">       </w:t>
      </w:r>
      <w:r w:rsidR="00B2379A">
        <w:rPr>
          <w:sz w:val="24"/>
          <w:szCs w:val="24"/>
        </w:rPr>
        <w:t xml:space="preserve">                             </w:t>
      </w:r>
      <w:r w:rsidRPr="00B2374D">
        <w:rPr>
          <w:sz w:val="24"/>
          <w:szCs w:val="24"/>
        </w:rPr>
        <w:t xml:space="preserve"> 201</w:t>
      </w:r>
      <w:r>
        <w:rPr>
          <w:sz w:val="24"/>
          <w:szCs w:val="24"/>
        </w:rPr>
        <w:t>6</w:t>
      </w:r>
      <w:r w:rsidRPr="00B2374D">
        <w:rPr>
          <w:sz w:val="24"/>
          <w:szCs w:val="24"/>
        </w:rPr>
        <w:t xml:space="preserve">.gada </w:t>
      </w:r>
      <w:r w:rsidR="00B2379A">
        <w:rPr>
          <w:sz w:val="24"/>
          <w:szCs w:val="24"/>
        </w:rPr>
        <w:t>15.jūlijā</w:t>
      </w:r>
      <w:r w:rsidRPr="00B2374D">
        <w:rPr>
          <w:sz w:val="24"/>
          <w:szCs w:val="24"/>
        </w:rPr>
        <w:t xml:space="preserve"> </w:t>
      </w:r>
    </w:p>
    <w:p w:rsidR="000D5028" w:rsidRPr="00B2374D" w:rsidRDefault="000D5028" w:rsidP="00651A58">
      <w:pPr>
        <w:autoSpaceDE w:val="0"/>
        <w:autoSpaceDN w:val="0"/>
        <w:adjustRightInd w:val="0"/>
        <w:ind w:right="-1050"/>
        <w:jc w:val="both"/>
        <w:rPr>
          <w:sz w:val="24"/>
          <w:szCs w:val="24"/>
        </w:rPr>
      </w:pPr>
      <w:r w:rsidRPr="00B2374D">
        <w:rPr>
          <w:b/>
          <w:sz w:val="24"/>
          <w:szCs w:val="24"/>
        </w:rPr>
        <w:t>Rēzeknes novada pašvaldība</w:t>
      </w:r>
      <w:r w:rsidRPr="00B2374D">
        <w:rPr>
          <w:sz w:val="24"/>
          <w:szCs w:val="24"/>
        </w:rPr>
        <w:t>, turpmāk – PASŪTĪTĀJS, no vienas puses, un</w:t>
      </w:r>
      <w:r>
        <w:rPr>
          <w:sz w:val="24"/>
          <w:szCs w:val="24"/>
        </w:rPr>
        <w:t xml:space="preserve"> </w:t>
      </w:r>
      <w:r w:rsidR="00651A58" w:rsidRPr="00651A58">
        <w:rPr>
          <w:b/>
          <w:sz w:val="24"/>
          <w:szCs w:val="24"/>
        </w:rPr>
        <w:t>sabiedrība ar ierobežotu atbildību „Sound Systems”</w:t>
      </w:r>
      <w:r w:rsidRPr="00B2374D">
        <w:rPr>
          <w:sz w:val="24"/>
          <w:szCs w:val="24"/>
        </w:rPr>
        <w:t>, turpmāk – IZPILDĪTĀJS, no otras puses, ab</w:t>
      </w:r>
      <w:r>
        <w:rPr>
          <w:sz w:val="24"/>
          <w:szCs w:val="24"/>
        </w:rPr>
        <w:t>i</w:t>
      </w:r>
      <w:r w:rsidRPr="00B2374D">
        <w:rPr>
          <w:sz w:val="24"/>
          <w:szCs w:val="24"/>
        </w:rPr>
        <w:t xml:space="preserve"> kopā un katr</w:t>
      </w:r>
      <w:r>
        <w:rPr>
          <w:sz w:val="24"/>
          <w:szCs w:val="24"/>
        </w:rPr>
        <w:t>s</w:t>
      </w:r>
      <w:r w:rsidRPr="00B2374D">
        <w:rPr>
          <w:sz w:val="24"/>
          <w:szCs w:val="24"/>
        </w:rPr>
        <w:t xml:space="preserve"> atsevišķi turpmāk arī PUSES vai PUSE, pamatojoties uz iepirkuma „</w:t>
      </w:r>
      <w:r>
        <w:rPr>
          <w:sz w:val="24"/>
          <w:szCs w:val="24"/>
        </w:rPr>
        <w:t>S</w:t>
      </w:r>
      <w:r w:rsidRPr="00B2374D">
        <w:rPr>
          <w:sz w:val="24"/>
          <w:szCs w:val="24"/>
        </w:rPr>
        <w:t>katuves un tehniskā aprīkojuma nodrošinā</w:t>
      </w:r>
      <w:r>
        <w:rPr>
          <w:sz w:val="24"/>
          <w:szCs w:val="24"/>
        </w:rPr>
        <w:t>j</w:t>
      </w:r>
      <w:r w:rsidRPr="00B2374D">
        <w:rPr>
          <w:sz w:val="24"/>
          <w:szCs w:val="24"/>
        </w:rPr>
        <w:t>u</w:t>
      </w:r>
      <w:r>
        <w:rPr>
          <w:sz w:val="24"/>
          <w:szCs w:val="24"/>
        </w:rPr>
        <w:t>ms</w:t>
      </w:r>
      <w:r w:rsidRPr="00B2374D">
        <w:rPr>
          <w:sz w:val="24"/>
          <w:szCs w:val="24"/>
        </w:rPr>
        <w:t xml:space="preserve"> Rēzeknes novada dienu pasākuma</w:t>
      </w:r>
      <w:r>
        <w:rPr>
          <w:sz w:val="24"/>
          <w:szCs w:val="24"/>
        </w:rPr>
        <w:t>m</w:t>
      </w:r>
      <w:r w:rsidRPr="00B2374D">
        <w:rPr>
          <w:sz w:val="24"/>
          <w:szCs w:val="24"/>
        </w:rPr>
        <w:t>” (identifikācijas Nr. RNP 201</w:t>
      </w:r>
      <w:r>
        <w:rPr>
          <w:sz w:val="24"/>
          <w:szCs w:val="24"/>
        </w:rPr>
        <w:t>6</w:t>
      </w:r>
      <w:r w:rsidRPr="00B2374D">
        <w:rPr>
          <w:sz w:val="24"/>
          <w:szCs w:val="24"/>
        </w:rPr>
        <w:t>/1</w:t>
      </w:r>
      <w:r>
        <w:rPr>
          <w:sz w:val="24"/>
          <w:szCs w:val="24"/>
        </w:rPr>
        <w:t>3</w:t>
      </w:r>
      <w:r w:rsidRPr="00B2374D">
        <w:rPr>
          <w:sz w:val="24"/>
          <w:szCs w:val="24"/>
        </w:rPr>
        <w:t xml:space="preserve">), turpmāk – IEPIRKUMS, rezultātiem, noslēdza šo līgumu, turpmāk – LĪGUMS, par sekojošo. </w:t>
      </w:r>
    </w:p>
    <w:p w:rsidR="000D5028" w:rsidRPr="00B2374D" w:rsidRDefault="000D5028" w:rsidP="006429A6">
      <w:pPr>
        <w:autoSpaceDE w:val="0"/>
        <w:autoSpaceDN w:val="0"/>
        <w:adjustRightInd w:val="0"/>
        <w:spacing w:before="120"/>
        <w:ind w:left="-284" w:right="-1049" w:firstLine="284"/>
        <w:jc w:val="center"/>
        <w:rPr>
          <w:b/>
          <w:bCs/>
          <w:sz w:val="24"/>
          <w:szCs w:val="24"/>
        </w:rPr>
      </w:pPr>
      <w:r w:rsidRPr="00B2374D">
        <w:rPr>
          <w:b/>
          <w:bCs/>
          <w:sz w:val="24"/>
          <w:szCs w:val="24"/>
        </w:rPr>
        <w:t>1. Līguma priekšmets</w:t>
      </w:r>
    </w:p>
    <w:p w:rsidR="000D5028" w:rsidRPr="00B2374D" w:rsidRDefault="000D5028" w:rsidP="006429A6">
      <w:pPr>
        <w:tabs>
          <w:tab w:val="left" w:pos="9214"/>
        </w:tabs>
        <w:autoSpaceDE w:val="0"/>
        <w:autoSpaceDN w:val="0"/>
        <w:adjustRightInd w:val="0"/>
        <w:ind w:left="426" w:right="-1050" w:hanging="426"/>
        <w:jc w:val="both"/>
        <w:rPr>
          <w:sz w:val="24"/>
          <w:szCs w:val="24"/>
        </w:rPr>
      </w:pPr>
      <w:r w:rsidRPr="00B2374D">
        <w:rPr>
          <w:sz w:val="24"/>
          <w:szCs w:val="24"/>
        </w:rPr>
        <w:t>1.1. PASŪTĪTĀJS uzdod, bet IZPILDĪTĀJS apņemas sniegt pakalpojumu, kas sevī ietver</w:t>
      </w:r>
      <w:r w:rsidR="006429A6">
        <w:rPr>
          <w:sz w:val="24"/>
          <w:szCs w:val="24"/>
        </w:rPr>
        <w:t xml:space="preserve">         </w:t>
      </w:r>
      <w:r>
        <w:rPr>
          <w:sz w:val="24"/>
          <w:szCs w:val="24"/>
        </w:rPr>
        <w:t xml:space="preserve"> </w:t>
      </w:r>
      <w:r w:rsidRPr="00B2374D">
        <w:rPr>
          <w:sz w:val="24"/>
          <w:szCs w:val="24"/>
        </w:rPr>
        <w:t>2 (divu) skatuvju uzstādīšanu un aprīkošanu pilnā apjomā, gaismas, apskaņošanas un elektrības pieslēguma nodrošinājumu, apkalpošanu Rēzeknes novada dienu pasākuma laikā, skaņu režiju, saskaņā ar tehnisk</w:t>
      </w:r>
      <w:r>
        <w:rPr>
          <w:sz w:val="24"/>
          <w:szCs w:val="24"/>
        </w:rPr>
        <w:t>aj</w:t>
      </w:r>
      <w:r w:rsidRPr="00B2374D">
        <w:rPr>
          <w:sz w:val="24"/>
          <w:szCs w:val="24"/>
        </w:rPr>
        <w:t>ām specifikācijām un IZPILDĪTĀJA tehnisko piedāvājumu IEPIRKUMĀ (Līguma pielikums Nr.1), turpmāk – PAKAL</w:t>
      </w:r>
      <w:r>
        <w:rPr>
          <w:sz w:val="24"/>
          <w:szCs w:val="24"/>
        </w:rPr>
        <w:t>P</w:t>
      </w:r>
      <w:r w:rsidRPr="00B2374D">
        <w:rPr>
          <w:sz w:val="24"/>
          <w:szCs w:val="24"/>
        </w:rPr>
        <w:t xml:space="preserve">OJUMS. </w:t>
      </w:r>
    </w:p>
    <w:p w:rsidR="000D5028" w:rsidRPr="00B23176" w:rsidRDefault="000D5028" w:rsidP="00304B6B">
      <w:pPr>
        <w:autoSpaceDE w:val="0"/>
        <w:autoSpaceDN w:val="0"/>
        <w:adjustRightInd w:val="0"/>
        <w:ind w:left="284" w:right="-1049" w:hanging="284"/>
        <w:jc w:val="center"/>
        <w:rPr>
          <w:b/>
          <w:bCs/>
          <w:sz w:val="24"/>
          <w:szCs w:val="24"/>
        </w:rPr>
      </w:pPr>
      <w:r w:rsidRPr="00B23176">
        <w:rPr>
          <w:b/>
          <w:bCs/>
          <w:sz w:val="24"/>
          <w:szCs w:val="24"/>
        </w:rPr>
        <w:t>2. Līguma summa un norēķinu kārtība</w:t>
      </w:r>
    </w:p>
    <w:p w:rsidR="000D5028" w:rsidRPr="00B23176" w:rsidRDefault="000D5028" w:rsidP="006429A6">
      <w:pPr>
        <w:autoSpaceDE w:val="0"/>
        <w:autoSpaceDN w:val="0"/>
        <w:adjustRightInd w:val="0"/>
        <w:ind w:left="426" w:right="-1050" w:hanging="426"/>
        <w:jc w:val="both"/>
        <w:rPr>
          <w:b/>
          <w:bCs/>
          <w:sz w:val="24"/>
          <w:szCs w:val="24"/>
        </w:rPr>
      </w:pPr>
      <w:r w:rsidRPr="00B23176">
        <w:rPr>
          <w:sz w:val="24"/>
          <w:szCs w:val="24"/>
        </w:rPr>
        <w:t xml:space="preserve">2.1. </w:t>
      </w:r>
      <w:r>
        <w:rPr>
          <w:sz w:val="24"/>
          <w:szCs w:val="24"/>
        </w:rPr>
        <w:t>L</w:t>
      </w:r>
      <w:r w:rsidRPr="00B23176">
        <w:rPr>
          <w:sz w:val="24"/>
          <w:szCs w:val="24"/>
        </w:rPr>
        <w:t xml:space="preserve">īguma summa ir maksa par PAKALPOJUMU, kas sastāda </w:t>
      </w:r>
      <w:r w:rsidRPr="00B23176">
        <w:rPr>
          <w:b/>
          <w:sz w:val="24"/>
          <w:szCs w:val="24"/>
        </w:rPr>
        <w:t xml:space="preserve">EUR </w:t>
      </w:r>
      <w:r w:rsidR="006429A6">
        <w:rPr>
          <w:b/>
          <w:sz w:val="24"/>
          <w:szCs w:val="24"/>
        </w:rPr>
        <w:t>10877,90</w:t>
      </w:r>
      <w:r w:rsidRPr="00B23176">
        <w:rPr>
          <w:sz w:val="24"/>
          <w:szCs w:val="24"/>
        </w:rPr>
        <w:t xml:space="preserve"> (</w:t>
      </w:r>
      <w:r w:rsidR="006429A6" w:rsidRPr="006429A6">
        <w:rPr>
          <w:b/>
          <w:sz w:val="24"/>
          <w:szCs w:val="24"/>
        </w:rPr>
        <w:t>desmit tūkstoši</w:t>
      </w:r>
      <w:r w:rsidR="006429A6">
        <w:rPr>
          <w:sz w:val="24"/>
          <w:szCs w:val="24"/>
        </w:rPr>
        <w:t xml:space="preserve"> </w:t>
      </w:r>
      <w:r w:rsidR="006429A6" w:rsidRPr="006429A6">
        <w:rPr>
          <w:b/>
          <w:sz w:val="24"/>
          <w:szCs w:val="24"/>
        </w:rPr>
        <w:t>astoņi simti septiņdesmit septiņi</w:t>
      </w:r>
      <w:r w:rsidRPr="00B23176">
        <w:rPr>
          <w:b/>
          <w:sz w:val="24"/>
          <w:szCs w:val="24"/>
        </w:rPr>
        <w:t xml:space="preserve"> </w:t>
      </w:r>
      <w:r w:rsidRPr="00B23176">
        <w:rPr>
          <w:b/>
          <w:i/>
          <w:sz w:val="24"/>
          <w:szCs w:val="24"/>
        </w:rPr>
        <w:t>euro</w:t>
      </w:r>
      <w:r w:rsidRPr="00B23176">
        <w:rPr>
          <w:b/>
          <w:sz w:val="24"/>
          <w:szCs w:val="24"/>
        </w:rPr>
        <w:t xml:space="preserve">, </w:t>
      </w:r>
      <w:r w:rsidR="006429A6">
        <w:rPr>
          <w:b/>
          <w:sz w:val="24"/>
          <w:szCs w:val="24"/>
        </w:rPr>
        <w:t>90</w:t>
      </w:r>
      <w:r w:rsidRPr="00B23176">
        <w:rPr>
          <w:b/>
          <w:sz w:val="24"/>
          <w:szCs w:val="24"/>
        </w:rPr>
        <w:t xml:space="preserve"> centi</w:t>
      </w:r>
      <w:r w:rsidRPr="00B23176">
        <w:rPr>
          <w:sz w:val="24"/>
          <w:szCs w:val="24"/>
        </w:rPr>
        <w:t xml:space="preserve">), tajā skaitā pievienotās vērtības nodokļa, turpmāk – PVN, summa – EUR </w:t>
      </w:r>
      <w:r w:rsidR="006429A6">
        <w:rPr>
          <w:sz w:val="24"/>
          <w:szCs w:val="24"/>
        </w:rPr>
        <w:t>1887,90</w:t>
      </w:r>
      <w:r w:rsidRPr="00B23176">
        <w:rPr>
          <w:sz w:val="24"/>
          <w:szCs w:val="24"/>
        </w:rPr>
        <w:t xml:space="preserve"> (</w:t>
      </w:r>
      <w:r w:rsidR="006429A6">
        <w:rPr>
          <w:sz w:val="24"/>
          <w:szCs w:val="24"/>
        </w:rPr>
        <w:t>viens tūkstotis astoņi simti astoņdesmit septiņi</w:t>
      </w:r>
      <w:r w:rsidRPr="00B23176">
        <w:rPr>
          <w:sz w:val="24"/>
          <w:szCs w:val="24"/>
        </w:rPr>
        <w:t xml:space="preserve"> </w:t>
      </w:r>
      <w:r w:rsidRPr="00B23176">
        <w:rPr>
          <w:i/>
          <w:sz w:val="24"/>
          <w:szCs w:val="24"/>
        </w:rPr>
        <w:t>euro</w:t>
      </w:r>
      <w:r w:rsidRPr="00B23176">
        <w:rPr>
          <w:sz w:val="24"/>
          <w:szCs w:val="24"/>
        </w:rPr>
        <w:t>,</w:t>
      </w:r>
      <w:r w:rsidR="006429A6">
        <w:rPr>
          <w:sz w:val="24"/>
          <w:szCs w:val="24"/>
        </w:rPr>
        <w:t xml:space="preserve"> 90</w:t>
      </w:r>
      <w:r w:rsidRPr="00B23176">
        <w:rPr>
          <w:sz w:val="24"/>
          <w:szCs w:val="24"/>
        </w:rPr>
        <w:t xml:space="preserve"> centi). </w:t>
      </w:r>
      <w:r w:rsidRPr="00B23176">
        <w:rPr>
          <w:b/>
          <w:sz w:val="24"/>
          <w:szCs w:val="24"/>
        </w:rPr>
        <w:t>Līguma summa</w:t>
      </w:r>
      <w:r w:rsidRPr="00B23176">
        <w:rPr>
          <w:sz w:val="24"/>
          <w:szCs w:val="24"/>
        </w:rPr>
        <w:t xml:space="preserve"> </w:t>
      </w:r>
      <w:r w:rsidRPr="00B23176">
        <w:rPr>
          <w:b/>
          <w:sz w:val="24"/>
          <w:szCs w:val="24"/>
        </w:rPr>
        <w:t>bez PVN</w:t>
      </w:r>
      <w:r w:rsidRPr="00B23176">
        <w:rPr>
          <w:sz w:val="24"/>
          <w:szCs w:val="24"/>
        </w:rPr>
        <w:t xml:space="preserve"> ir </w:t>
      </w:r>
      <w:r w:rsidRPr="00B23176">
        <w:rPr>
          <w:b/>
          <w:sz w:val="24"/>
          <w:szCs w:val="24"/>
        </w:rPr>
        <w:t xml:space="preserve">EUR </w:t>
      </w:r>
      <w:r w:rsidR="006429A6" w:rsidRPr="006429A6">
        <w:rPr>
          <w:b/>
          <w:sz w:val="24"/>
          <w:szCs w:val="24"/>
          <w:u w:val="single"/>
        </w:rPr>
        <w:t>8990,00</w:t>
      </w:r>
      <w:r w:rsidRPr="006429A6">
        <w:rPr>
          <w:sz w:val="24"/>
          <w:szCs w:val="24"/>
          <w:u w:val="single"/>
        </w:rPr>
        <w:t xml:space="preserve"> (</w:t>
      </w:r>
      <w:r w:rsidR="006429A6" w:rsidRPr="006429A6">
        <w:rPr>
          <w:b/>
          <w:sz w:val="24"/>
          <w:szCs w:val="24"/>
          <w:u w:val="single"/>
        </w:rPr>
        <w:t>astoņi tūkstoši deviņi</w:t>
      </w:r>
      <w:r w:rsidR="006429A6">
        <w:rPr>
          <w:sz w:val="24"/>
          <w:szCs w:val="24"/>
        </w:rPr>
        <w:t xml:space="preserve"> </w:t>
      </w:r>
      <w:r w:rsidR="006429A6" w:rsidRPr="006429A6">
        <w:rPr>
          <w:b/>
          <w:sz w:val="24"/>
          <w:szCs w:val="24"/>
          <w:u w:val="single"/>
        </w:rPr>
        <w:t>simti deviņdesmit</w:t>
      </w:r>
      <w:r w:rsidRPr="006429A6">
        <w:rPr>
          <w:b/>
          <w:sz w:val="24"/>
          <w:szCs w:val="24"/>
          <w:u w:val="single"/>
        </w:rPr>
        <w:t xml:space="preserve"> </w:t>
      </w:r>
      <w:r w:rsidRPr="006429A6">
        <w:rPr>
          <w:b/>
          <w:i/>
          <w:sz w:val="24"/>
          <w:szCs w:val="24"/>
          <w:u w:val="single"/>
        </w:rPr>
        <w:t>euro</w:t>
      </w:r>
      <w:r w:rsidRPr="006429A6">
        <w:rPr>
          <w:b/>
          <w:sz w:val="24"/>
          <w:szCs w:val="24"/>
          <w:u w:val="single"/>
        </w:rPr>
        <w:t xml:space="preserve">, </w:t>
      </w:r>
      <w:r w:rsidR="006429A6" w:rsidRPr="006429A6">
        <w:rPr>
          <w:b/>
          <w:sz w:val="24"/>
          <w:szCs w:val="24"/>
          <w:u w:val="single"/>
        </w:rPr>
        <w:t>00</w:t>
      </w:r>
      <w:r w:rsidRPr="006429A6">
        <w:rPr>
          <w:b/>
          <w:sz w:val="24"/>
          <w:szCs w:val="24"/>
          <w:u w:val="single"/>
        </w:rPr>
        <w:t xml:space="preserve"> centi</w:t>
      </w:r>
      <w:r w:rsidRPr="006429A6">
        <w:rPr>
          <w:sz w:val="24"/>
          <w:szCs w:val="24"/>
          <w:u w:val="single"/>
        </w:rPr>
        <w:t>)</w:t>
      </w:r>
      <w:r w:rsidRPr="00B23176">
        <w:rPr>
          <w:sz w:val="24"/>
          <w:szCs w:val="24"/>
        </w:rPr>
        <w:t>.</w:t>
      </w:r>
    </w:p>
    <w:p w:rsidR="000D5028" w:rsidRPr="00B23176" w:rsidRDefault="000D5028" w:rsidP="006429A6">
      <w:pPr>
        <w:tabs>
          <w:tab w:val="left" w:pos="8222"/>
        </w:tabs>
        <w:autoSpaceDE w:val="0"/>
        <w:autoSpaceDN w:val="0"/>
        <w:adjustRightInd w:val="0"/>
        <w:ind w:left="426" w:right="-1050" w:hanging="426"/>
        <w:jc w:val="both"/>
        <w:rPr>
          <w:sz w:val="24"/>
          <w:szCs w:val="24"/>
        </w:rPr>
      </w:pPr>
      <w:r w:rsidRPr="00B23176">
        <w:rPr>
          <w:sz w:val="24"/>
          <w:szCs w:val="24"/>
        </w:rPr>
        <w:t>2.2.</w:t>
      </w:r>
      <w:r>
        <w:rPr>
          <w:sz w:val="24"/>
          <w:szCs w:val="24"/>
        </w:rPr>
        <w:t xml:space="preserve"> </w:t>
      </w:r>
      <w:r w:rsidRPr="00B23176">
        <w:rPr>
          <w:sz w:val="24"/>
          <w:szCs w:val="24"/>
        </w:rPr>
        <w:t xml:space="preserve">PASŪTĪTĀJS veic samaksu par </w:t>
      </w:r>
      <w:r>
        <w:rPr>
          <w:sz w:val="24"/>
          <w:szCs w:val="24"/>
        </w:rPr>
        <w:t xml:space="preserve">sniegto PAKALPOJUMU </w:t>
      </w:r>
      <w:r w:rsidRPr="00B23176">
        <w:rPr>
          <w:sz w:val="24"/>
          <w:szCs w:val="24"/>
        </w:rPr>
        <w:t xml:space="preserve">pēc PAKALPOJUMA sniegšanas pabeigšanas, tas ir, pēc galarezultāta pieņemšanas. </w:t>
      </w:r>
    </w:p>
    <w:p w:rsidR="000D5028" w:rsidRPr="00B23176" w:rsidRDefault="000D5028" w:rsidP="006429A6">
      <w:pPr>
        <w:autoSpaceDE w:val="0"/>
        <w:autoSpaceDN w:val="0"/>
        <w:adjustRightInd w:val="0"/>
        <w:ind w:left="426" w:right="-1050" w:hanging="426"/>
        <w:jc w:val="both"/>
        <w:rPr>
          <w:sz w:val="24"/>
          <w:szCs w:val="24"/>
        </w:rPr>
      </w:pPr>
      <w:r w:rsidRPr="00B23176">
        <w:rPr>
          <w:sz w:val="24"/>
          <w:szCs w:val="24"/>
        </w:rPr>
        <w:t xml:space="preserve">2.3. Samaksa par sniegto PAKALPOJUMU tiek veikta 5 (piecu) darba dienu laikā </w:t>
      </w:r>
      <w:r>
        <w:rPr>
          <w:sz w:val="24"/>
          <w:szCs w:val="24"/>
        </w:rPr>
        <w:t xml:space="preserve">pēc </w:t>
      </w:r>
      <w:r w:rsidRPr="00B23176">
        <w:rPr>
          <w:sz w:val="24"/>
          <w:szCs w:val="24"/>
        </w:rPr>
        <w:t xml:space="preserve">pieņemšanas – nodošanas akta abpusējās parakstīšanas un IZPILDĪTĀJA rēķina saņemšanas, pārskaitot LĪGUMA 2.1.punktā noteikto summu IZPILDĪTĀJA norādītajā kontā. </w:t>
      </w:r>
    </w:p>
    <w:p w:rsidR="000D5028" w:rsidRPr="00B23176" w:rsidRDefault="000D5028" w:rsidP="00304B6B">
      <w:pPr>
        <w:autoSpaceDE w:val="0"/>
        <w:autoSpaceDN w:val="0"/>
        <w:adjustRightInd w:val="0"/>
        <w:ind w:left="284" w:right="-1049" w:hanging="284"/>
        <w:jc w:val="center"/>
        <w:rPr>
          <w:b/>
          <w:bCs/>
          <w:sz w:val="24"/>
          <w:szCs w:val="24"/>
        </w:rPr>
      </w:pPr>
      <w:r w:rsidRPr="00B23176">
        <w:rPr>
          <w:b/>
          <w:bCs/>
          <w:sz w:val="24"/>
          <w:szCs w:val="24"/>
        </w:rPr>
        <w:t>3. Izpildītāja pienākumi</w:t>
      </w:r>
    </w:p>
    <w:p w:rsidR="000D5028" w:rsidRPr="00B23176" w:rsidRDefault="000D5028" w:rsidP="006429A6">
      <w:pPr>
        <w:tabs>
          <w:tab w:val="left" w:pos="284"/>
        </w:tabs>
        <w:autoSpaceDE w:val="0"/>
        <w:autoSpaceDN w:val="0"/>
        <w:adjustRightInd w:val="0"/>
        <w:ind w:left="426" w:right="-1050" w:hanging="426"/>
        <w:jc w:val="both"/>
        <w:rPr>
          <w:sz w:val="24"/>
          <w:szCs w:val="24"/>
        </w:rPr>
      </w:pPr>
      <w:r w:rsidRPr="00B23176">
        <w:rPr>
          <w:sz w:val="24"/>
          <w:szCs w:val="24"/>
        </w:rPr>
        <w:t xml:space="preserve">3.1. IZPILDĪTĀJS apņemas </w:t>
      </w:r>
      <w:r>
        <w:rPr>
          <w:sz w:val="24"/>
          <w:szCs w:val="24"/>
        </w:rPr>
        <w:t>PAKALPOJUMU</w:t>
      </w:r>
      <w:r w:rsidRPr="00B23176">
        <w:rPr>
          <w:sz w:val="24"/>
          <w:szCs w:val="24"/>
        </w:rPr>
        <w:t xml:space="preserve"> </w:t>
      </w:r>
      <w:r>
        <w:rPr>
          <w:sz w:val="24"/>
          <w:szCs w:val="24"/>
        </w:rPr>
        <w:t>sniegt</w:t>
      </w:r>
      <w:r w:rsidRPr="00B23176">
        <w:rPr>
          <w:sz w:val="24"/>
          <w:szCs w:val="24"/>
        </w:rPr>
        <w:t xml:space="preserve"> kvalitatīvi, saskaņā ar LĪGUMA noteikumiem un Latvijas Republikā spēkā esošajiem normatīvajiem aktiem.</w:t>
      </w:r>
    </w:p>
    <w:p w:rsidR="000D5028" w:rsidRPr="00B23176" w:rsidRDefault="000D5028" w:rsidP="006429A6">
      <w:pPr>
        <w:autoSpaceDE w:val="0"/>
        <w:autoSpaceDN w:val="0"/>
        <w:adjustRightInd w:val="0"/>
        <w:ind w:left="425" w:right="-1049" w:hanging="425"/>
        <w:jc w:val="both"/>
        <w:rPr>
          <w:sz w:val="24"/>
          <w:szCs w:val="24"/>
        </w:rPr>
      </w:pPr>
      <w:r w:rsidRPr="00B23176">
        <w:rPr>
          <w:sz w:val="24"/>
          <w:szCs w:val="24"/>
        </w:rPr>
        <w:t xml:space="preserve">3.2. IZPILDĪTĀJS apņemas sniegt PAKALPOJUMU LĪGUMĀ noteiktajā laikā, apjomā un vietā un pēc PAKALPOJUMA sniegšanas parakstīt PASŪTĪTĀJA sastādīto pieņemšanas – nodošanas aktu. </w:t>
      </w:r>
    </w:p>
    <w:p w:rsidR="000D5028" w:rsidRPr="001F58E3" w:rsidRDefault="000D5028" w:rsidP="006429A6">
      <w:pPr>
        <w:autoSpaceDE w:val="0"/>
        <w:autoSpaceDN w:val="0"/>
        <w:adjustRightInd w:val="0"/>
        <w:ind w:left="284" w:right="-1049" w:hanging="284"/>
        <w:jc w:val="center"/>
        <w:rPr>
          <w:b/>
          <w:bCs/>
          <w:sz w:val="24"/>
          <w:szCs w:val="24"/>
        </w:rPr>
      </w:pPr>
      <w:r w:rsidRPr="001F58E3">
        <w:rPr>
          <w:b/>
          <w:bCs/>
          <w:sz w:val="24"/>
          <w:szCs w:val="24"/>
        </w:rPr>
        <w:t>4. Pasūtītāja pienākumi</w:t>
      </w:r>
    </w:p>
    <w:p w:rsidR="000D5028" w:rsidRPr="001F58E3" w:rsidRDefault="000D5028" w:rsidP="006429A6">
      <w:pPr>
        <w:autoSpaceDE w:val="0"/>
        <w:autoSpaceDN w:val="0"/>
        <w:adjustRightInd w:val="0"/>
        <w:ind w:left="426" w:right="-1050" w:hanging="426"/>
        <w:jc w:val="both"/>
        <w:rPr>
          <w:sz w:val="24"/>
          <w:szCs w:val="24"/>
        </w:rPr>
      </w:pPr>
      <w:r w:rsidRPr="001F58E3">
        <w:rPr>
          <w:sz w:val="24"/>
          <w:szCs w:val="24"/>
        </w:rPr>
        <w:t xml:space="preserve">4.1. PASŪTĪTĀJS apņemas par IZPILDĪTĀJA atbilstoši </w:t>
      </w:r>
      <w:r>
        <w:rPr>
          <w:sz w:val="24"/>
          <w:szCs w:val="24"/>
        </w:rPr>
        <w:t>LĪGUMA</w:t>
      </w:r>
      <w:r w:rsidRPr="001F58E3">
        <w:rPr>
          <w:sz w:val="24"/>
          <w:szCs w:val="24"/>
        </w:rPr>
        <w:t xml:space="preserve"> noteikumiem kvalitatīvi sniegto PAKALPOJUMU veikt samaksu</w:t>
      </w:r>
      <w:r>
        <w:rPr>
          <w:sz w:val="24"/>
          <w:szCs w:val="24"/>
        </w:rPr>
        <w:t xml:space="preserve"> LĪGUMA</w:t>
      </w:r>
      <w:r w:rsidRPr="001F58E3">
        <w:rPr>
          <w:sz w:val="24"/>
          <w:szCs w:val="24"/>
        </w:rPr>
        <w:t xml:space="preserve"> 2.1.</w:t>
      </w:r>
      <w:r>
        <w:rPr>
          <w:sz w:val="24"/>
          <w:szCs w:val="24"/>
        </w:rPr>
        <w:t>-2.3.</w:t>
      </w:r>
      <w:r w:rsidRPr="001F58E3">
        <w:rPr>
          <w:sz w:val="24"/>
          <w:szCs w:val="24"/>
        </w:rPr>
        <w:t>punktā noteikt</w:t>
      </w:r>
      <w:r>
        <w:rPr>
          <w:sz w:val="24"/>
          <w:szCs w:val="24"/>
        </w:rPr>
        <w:t>ajā apmērā un kārtībā</w:t>
      </w:r>
      <w:r w:rsidRPr="001F58E3">
        <w:rPr>
          <w:sz w:val="24"/>
          <w:szCs w:val="24"/>
        </w:rPr>
        <w:t xml:space="preserve">. </w:t>
      </w:r>
    </w:p>
    <w:p w:rsidR="000D5028" w:rsidRPr="001F58E3" w:rsidRDefault="000D5028" w:rsidP="006429A6">
      <w:pPr>
        <w:autoSpaceDE w:val="0"/>
        <w:autoSpaceDN w:val="0"/>
        <w:adjustRightInd w:val="0"/>
        <w:ind w:left="426" w:right="-1050" w:hanging="426"/>
        <w:jc w:val="both"/>
        <w:rPr>
          <w:sz w:val="24"/>
          <w:szCs w:val="24"/>
        </w:rPr>
      </w:pPr>
      <w:r w:rsidRPr="001F58E3">
        <w:rPr>
          <w:sz w:val="24"/>
          <w:szCs w:val="24"/>
        </w:rPr>
        <w:t>4.2.</w:t>
      </w:r>
      <w:r>
        <w:rPr>
          <w:sz w:val="24"/>
          <w:szCs w:val="24"/>
        </w:rPr>
        <w:t xml:space="preserve"> </w:t>
      </w:r>
      <w:r w:rsidRPr="001F58E3">
        <w:rPr>
          <w:sz w:val="24"/>
          <w:szCs w:val="24"/>
        </w:rPr>
        <w:t>PASŪTĪTĀJAM ir pienākums pieņemt IZPILDĪTĀJA sniegto PAKALPOJUMU, sastādot pieņemšanas – nodošanas aktu vai rakstiski iesniegt pamatotu pretenziju, ja PAKALPOJUMA galarezultāts neatbilst LĪGUMA noteikumiem vai PASŪTĪTĀJA norādījumiem.</w:t>
      </w:r>
    </w:p>
    <w:p w:rsidR="000D5028" w:rsidRPr="000859E2" w:rsidRDefault="000D5028" w:rsidP="006429A6">
      <w:pPr>
        <w:autoSpaceDE w:val="0"/>
        <w:autoSpaceDN w:val="0"/>
        <w:adjustRightInd w:val="0"/>
        <w:ind w:left="284" w:right="-1049" w:hanging="284"/>
        <w:jc w:val="center"/>
        <w:rPr>
          <w:b/>
          <w:bCs/>
          <w:sz w:val="24"/>
          <w:szCs w:val="24"/>
        </w:rPr>
      </w:pPr>
      <w:r w:rsidRPr="000859E2">
        <w:rPr>
          <w:b/>
          <w:bCs/>
          <w:sz w:val="24"/>
          <w:szCs w:val="24"/>
        </w:rPr>
        <w:t>5. Pušu atbildība</w:t>
      </w:r>
    </w:p>
    <w:p w:rsidR="000D5028" w:rsidRPr="000859E2" w:rsidRDefault="000D5028" w:rsidP="006429A6">
      <w:pPr>
        <w:tabs>
          <w:tab w:val="left" w:pos="8640"/>
        </w:tabs>
        <w:autoSpaceDE w:val="0"/>
        <w:autoSpaceDN w:val="0"/>
        <w:adjustRightInd w:val="0"/>
        <w:ind w:left="426" w:right="-1050" w:hanging="426"/>
        <w:jc w:val="both"/>
        <w:rPr>
          <w:sz w:val="24"/>
          <w:szCs w:val="24"/>
        </w:rPr>
      </w:pPr>
      <w:r w:rsidRPr="000859E2">
        <w:rPr>
          <w:sz w:val="24"/>
          <w:szCs w:val="24"/>
        </w:rPr>
        <w:t>5.1. Par PAKALPOJUMA nesavlaicīgu sniegšanu IZPILDĪTĀJAM tiek noteikts līgumsods 0,5% apmērā no kopējās līguma summas par katru kavēto stundu.</w:t>
      </w:r>
    </w:p>
    <w:p w:rsidR="000D5028" w:rsidRPr="000859E2" w:rsidRDefault="000D5028" w:rsidP="006429A6">
      <w:pPr>
        <w:tabs>
          <w:tab w:val="left" w:pos="9356"/>
        </w:tabs>
        <w:autoSpaceDE w:val="0"/>
        <w:autoSpaceDN w:val="0"/>
        <w:adjustRightInd w:val="0"/>
        <w:ind w:left="426" w:right="-1050" w:hanging="426"/>
        <w:jc w:val="both"/>
        <w:rPr>
          <w:sz w:val="24"/>
          <w:szCs w:val="24"/>
        </w:rPr>
      </w:pPr>
      <w:r w:rsidRPr="000859E2">
        <w:rPr>
          <w:sz w:val="24"/>
          <w:szCs w:val="24"/>
        </w:rPr>
        <w:t>5.2. Ja IZPILDĪTĀJA vainas dēļ PAKALPOJUMS netiek nodrošināts atbilstošā kvalitātē vai apjomā, vai vispār netiek nodrošināts, IZPILDĪTĀJAM piemērojams līgumsods nekvalitatīvā vai neatbilstošā pakalpojuma vērtībā, vai arī kopējās līguma summas apmērā.</w:t>
      </w:r>
    </w:p>
    <w:p w:rsidR="000D5028" w:rsidRPr="009D46BE" w:rsidRDefault="000D5028" w:rsidP="006429A6">
      <w:pPr>
        <w:tabs>
          <w:tab w:val="left" w:pos="9356"/>
        </w:tabs>
        <w:autoSpaceDE w:val="0"/>
        <w:autoSpaceDN w:val="0"/>
        <w:adjustRightInd w:val="0"/>
        <w:ind w:left="426" w:right="-1050" w:hanging="426"/>
        <w:jc w:val="both"/>
      </w:pPr>
      <w:r w:rsidRPr="000859E2">
        <w:rPr>
          <w:sz w:val="24"/>
          <w:szCs w:val="24"/>
        </w:rPr>
        <w:lastRenderedPageBreak/>
        <w:t>5.3. Par samaksas par sniegto PAKALPOJUMU nokavējumu PASŪTĪTĀJAM tiek noteikts līgumsods 0,5% apmērā no kopējās līguma summas par katru nokavēto dienu</w:t>
      </w:r>
      <w:r>
        <w:t xml:space="preserve">. </w:t>
      </w:r>
    </w:p>
    <w:p w:rsidR="000D5028" w:rsidRPr="00AE43B2" w:rsidRDefault="000D5028" w:rsidP="00304B6B">
      <w:pPr>
        <w:autoSpaceDE w:val="0"/>
        <w:autoSpaceDN w:val="0"/>
        <w:adjustRightInd w:val="0"/>
        <w:ind w:left="284" w:right="-1049" w:hanging="284"/>
        <w:jc w:val="center"/>
        <w:rPr>
          <w:b/>
          <w:sz w:val="24"/>
          <w:szCs w:val="24"/>
        </w:rPr>
      </w:pPr>
      <w:r w:rsidRPr="00AE43B2">
        <w:rPr>
          <w:b/>
          <w:sz w:val="24"/>
          <w:szCs w:val="24"/>
        </w:rPr>
        <w:t>6. Nepārvarama vara</w:t>
      </w:r>
    </w:p>
    <w:p w:rsidR="000D5028" w:rsidRPr="00AE43B2" w:rsidRDefault="000D5028" w:rsidP="006429A6">
      <w:pPr>
        <w:autoSpaceDE w:val="0"/>
        <w:autoSpaceDN w:val="0"/>
        <w:adjustRightInd w:val="0"/>
        <w:ind w:left="426" w:right="-1050" w:hanging="426"/>
        <w:jc w:val="both"/>
        <w:rPr>
          <w:sz w:val="24"/>
          <w:szCs w:val="24"/>
        </w:rPr>
      </w:pPr>
      <w:r w:rsidRPr="00AE43B2">
        <w:rPr>
          <w:sz w:val="24"/>
          <w:szCs w:val="24"/>
        </w:rPr>
        <w:t xml:space="preserve">6.1. PUSES neatbild par LĪGUMA saistību neizpildi vai izpildes nokavējumu, ja minēta neizpilde vai nokavējums ir saistīti ar nepārvaramas varas apstākļiem. </w:t>
      </w:r>
    </w:p>
    <w:p w:rsidR="000D5028" w:rsidRPr="00AE43B2" w:rsidRDefault="000D5028" w:rsidP="006429A6">
      <w:pPr>
        <w:autoSpaceDE w:val="0"/>
        <w:autoSpaceDN w:val="0"/>
        <w:adjustRightInd w:val="0"/>
        <w:ind w:left="426" w:right="-1050" w:hanging="426"/>
        <w:jc w:val="both"/>
        <w:rPr>
          <w:sz w:val="24"/>
          <w:szCs w:val="24"/>
        </w:rPr>
      </w:pPr>
      <w:r w:rsidRPr="00AE43B2">
        <w:rPr>
          <w:sz w:val="24"/>
          <w:szCs w:val="24"/>
        </w:rPr>
        <w:t>6.2.</w:t>
      </w:r>
      <w:r>
        <w:rPr>
          <w:sz w:val="24"/>
          <w:szCs w:val="24"/>
        </w:rPr>
        <w:t xml:space="preserve"> </w:t>
      </w:r>
      <w:r w:rsidRPr="00AE43B2">
        <w:rPr>
          <w:sz w:val="24"/>
          <w:szCs w:val="24"/>
        </w:rPr>
        <w:t>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0D5028" w:rsidRPr="00AE43B2" w:rsidRDefault="000D5028" w:rsidP="006429A6">
      <w:pPr>
        <w:autoSpaceDE w:val="0"/>
        <w:autoSpaceDN w:val="0"/>
        <w:adjustRightInd w:val="0"/>
        <w:ind w:left="426" w:right="-1050" w:hanging="426"/>
        <w:jc w:val="both"/>
        <w:rPr>
          <w:sz w:val="24"/>
          <w:szCs w:val="24"/>
        </w:rPr>
      </w:pPr>
      <w:r w:rsidRPr="00AE43B2">
        <w:rPr>
          <w:sz w:val="24"/>
          <w:szCs w:val="24"/>
        </w:rPr>
        <w:t>6.3. 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w:t>
      </w:r>
    </w:p>
    <w:p w:rsidR="000D5028" w:rsidRPr="00DF5860" w:rsidRDefault="000D5028" w:rsidP="00304B6B">
      <w:pPr>
        <w:autoSpaceDE w:val="0"/>
        <w:autoSpaceDN w:val="0"/>
        <w:adjustRightInd w:val="0"/>
        <w:ind w:left="284" w:right="-1049" w:hanging="284"/>
        <w:jc w:val="center"/>
        <w:rPr>
          <w:b/>
          <w:bCs/>
          <w:sz w:val="24"/>
          <w:szCs w:val="24"/>
        </w:rPr>
      </w:pPr>
      <w:r w:rsidRPr="00DF5860">
        <w:rPr>
          <w:b/>
          <w:bCs/>
          <w:sz w:val="24"/>
          <w:szCs w:val="24"/>
        </w:rPr>
        <w:t>7. Līguma spēkā stāšanās un darbības termiņš</w:t>
      </w:r>
    </w:p>
    <w:p w:rsidR="000D5028" w:rsidRPr="00DF5860" w:rsidRDefault="000D5028" w:rsidP="006429A6">
      <w:pPr>
        <w:autoSpaceDE w:val="0"/>
        <w:autoSpaceDN w:val="0"/>
        <w:adjustRightInd w:val="0"/>
        <w:ind w:left="426" w:right="-1050" w:hanging="426"/>
        <w:jc w:val="both"/>
        <w:rPr>
          <w:bCs/>
          <w:sz w:val="24"/>
          <w:szCs w:val="24"/>
        </w:rPr>
      </w:pPr>
      <w:r w:rsidRPr="00DF5860">
        <w:rPr>
          <w:bCs/>
          <w:sz w:val="24"/>
          <w:szCs w:val="24"/>
        </w:rPr>
        <w:t xml:space="preserve">7.1. </w:t>
      </w:r>
      <w:r>
        <w:rPr>
          <w:bCs/>
          <w:sz w:val="24"/>
          <w:szCs w:val="24"/>
        </w:rPr>
        <w:t>LĪGUMS</w:t>
      </w:r>
      <w:r w:rsidRPr="00DF5860">
        <w:rPr>
          <w:bCs/>
          <w:sz w:val="24"/>
          <w:szCs w:val="24"/>
        </w:rPr>
        <w:t xml:space="preserve"> stājas spēkā ar tā parakstīšanas brīdi un ir spēkā līdz pilnīgai abu PUŠU saistību izpildei.</w:t>
      </w:r>
    </w:p>
    <w:p w:rsidR="000D5028" w:rsidRPr="00DF5860" w:rsidRDefault="000D5028" w:rsidP="006429A6">
      <w:pPr>
        <w:autoSpaceDE w:val="0"/>
        <w:autoSpaceDN w:val="0"/>
        <w:adjustRightInd w:val="0"/>
        <w:ind w:right="-1050"/>
        <w:jc w:val="both"/>
        <w:rPr>
          <w:bCs/>
          <w:sz w:val="24"/>
          <w:szCs w:val="24"/>
        </w:rPr>
      </w:pPr>
      <w:r w:rsidRPr="00DF5860">
        <w:rPr>
          <w:bCs/>
          <w:sz w:val="24"/>
          <w:szCs w:val="24"/>
        </w:rPr>
        <w:t xml:space="preserve">7.2. PAKALPOJUMA sniegšanas laiks – </w:t>
      </w:r>
      <w:r w:rsidRPr="00DF5860">
        <w:rPr>
          <w:b/>
          <w:bCs/>
          <w:sz w:val="24"/>
          <w:szCs w:val="24"/>
        </w:rPr>
        <w:t>201</w:t>
      </w:r>
      <w:r>
        <w:rPr>
          <w:b/>
          <w:bCs/>
          <w:sz w:val="24"/>
          <w:szCs w:val="24"/>
        </w:rPr>
        <w:t>6</w:t>
      </w:r>
      <w:r w:rsidRPr="00DF5860">
        <w:rPr>
          <w:b/>
          <w:bCs/>
          <w:sz w:val="24"/>
          <w:szCs w:val="24"/>
        </w:rPr>
        <w:t xml:space="preserve">.gada </w:t>
      </w:r>
      <w:r>
        <w:rPr>
          <w:b/>
          <w:bCs/>
          <w:sz w:val="24"/>
          <w:szCs w:val="24"/>
        </w:rPr>
        <w:t>22</w:t>
      </w:r>
      <w:r w:rsidRPr="00DF5860">
        <w:rPr>
          <w:b/>
          <w:bCs/>
          <w:sz w:val="24"/>
          <w:szCs w:val="24"/>
        </w:rPr>
        <w:t>.</w:t>
      </w:r>
      <w:r>
        <w:rPr>
          <w:b/>
          <w:bCs/>
          <w:sz w:val="24"/>
          <w:szCs w:val="24"/>
        </w:rPr>
        <w:t>-23.</w:t>
      </w:r>
      <w:r w:rsidRPr="00DF5860">
        <w:rPr>
          <w:b/>
          <w:bCs/>
          <w:sz w:val="24"/>
          <w:szCs w:val="24"/>
        </w:rPr>
        <w:t>jūlijs</w:t>
      </w:r>
      <w:r w:rsidRPr="00DF5860">
        <w:rPr>
          <w:bCs/>
          <w:sz w:val="24"/>
          <w:szCs w:val="24"/>
        </w:rPr>
        <w:t>.</w:t>
      </w:r>
    </w:p>
    <w:p w:rsidR="000D5028" w:rsidRPr="00DF5860" w:rsidRDefault="000D5028" w:rsidP="006429A6">
      <w:pPr>
        <w:autoSpaceDE w:val="0"/>
        <w:autoSpaceDN w:val="0"/>
        <w:adjustRightInd w:val="0"/>
        <w:ind w:left="426" w:right="-1050" w:hanging="426"/>
        <w:jc w:val="both"/>
        <w:rPr>
          <w:bCs/>
          <w:sz w:val="24"/>
          <w:szCs w:val="24"/>
        </w:rPr>
      </w:pPr>
      <w:r w:rsidRPr="00DF5860">
        <w:rPr>
          <w:bCs/>
          <w:sz w:val="24"/>
          <w:szCs w:val="24"/>
        </w:rPr>
        <w:t>7.3.</w:t>
      </w:r>
      <w:r>
        <w:rPr>
          <w:bCs/>
          <w:sz w:val="24"/>
          <w:szCs w:val="24"/>
        </w:rPr>
        <w:t xml:space="preserve"> </w:t>
      </w:r>
      <w:r w:rsidRPr="00DF5860">
        <w:rPr>
          <w:bCs/>
          <w:sz w:val="24"/>
          <w:szCs w:val="24"/>
        </w:rPr>
        <w:t xml:space="preserve">PAKALPOJUMA sniegšanas vieta – </w:t>
      </w:r>
      <w:r w:rsidRPr="00DF5860">
        <w:rPr>
          <w:b/>
          <w:bCs/>
          <w:sz w:val="24"/>
          <w:szCs w:val="24"/>
        </w:rPr>
        <w:t>Ančupānu kartodroma teritorija</w:t>
      </w:r>
      <w:r w:rsidRPr="00DF5860">
        <w:rPr>
          <w:bCs/>
          <w:sz w:val="24"/>
          <w:szCs w:val="24"/>
        </w:rPr>
        <w:t xml:space="preserve">, Vērēmu pagastā, Rēzeknes novadā. </w:t>
      </w:r>
    </w:p>
    <w:p w:rsidR="000D5028" w:rsidRPr="00464A9C" w:rsidRDefault="000D5028" w:rsidP="001A7CE1">
      <w:pPr>
        <w:autoSpaceDE w:val="0"/>
        <w:autoSpaceDN w:val="0"/>
        <w:adjustRightInd w:val="0"/>
        <w:ind w:left="283" w:right="-1050" w:hanging="283"/>
        <w:jc w:val="center"/>
        <w:rPr>
          <w:b/>
          <w:bCs/>
          <w:sz w:val="24"/>
          <w:szCs w:val="24"/>
        </w:rPr>
      </w:pPr>
      <w:r w:rsidRPr="00464A9C">
        <w:rPr>
          <w:b/>
          <w:bCs/>
          <w:sz w:val="24"/>
          <w:szCs w:val="24"/>
        </w:rPr>
        <w:t>8. Strīdu izšķiršanas kārtība</w:t>
      </w:r>
    </w:p>
    <w:p w:rsidR="000D5028" w:rsidRPr="00464A9C" w:rsidRDefault="000D5028" w:rsidP="001A7CE1">
      <w:pPr>
        <w:autoSpaceDE w:val="0"/>
        <w:autoSpaceDN w:val="0"/>
        <w:adjustRightInd w:val="0"/>
        <w:ind w:left="426" w:right="-1050" w:hanging="426"/>
        <w:jc w:val="both"/>
        <w:rPr>
          <w:bCs/>
          <w:sz w:val="24"/>
          <w:szCs w:val="24"/>
        </w:rPr>
      </w:pPr>
      <w:r w:rsidRPr="00464A9C">
        <w:rPr>
          <w:bCs/>
          <w:sz w:val="24"/>
          <w:szCs w:val="24"/>
        </w:rPr>
        <w:t>8.1.</w:t>
      </w:r>
      <w:r>
        <w:rPr>
          <w:bCs/>
          <w:sz w:val="24"/>
          <w:szCs w:val="24"/>
        </w:rPr>
        <w:t xml:space="preserve"> </w:t>
      </w:r>
      <w:r w:rsidRPr="00464A9C">
        <w:rPr>
          <w:bCs/>
          <w:sz w:val="24"/>
          <w:szCs w:val="24"/>
        </w:rPr>
        <w:t>Visi strīdi un nesaskaņas, kas rodas vai var rasties LĪGUMA izpildes gaitā vai sakarā ar to, risināmi savstarpējo pārrunu ceļā, bet, nepanākot vienošanos 30 (trīsdesmit) dienu laikā, strīdus izskata tiesa saskaņā ar Latvijas Republikas normatīvajiem aktiem.</w:t>
      </w:r>
    </w:p>
    <w:p w:rsidR="000D5028" w:rsidRPr="0098296E" w:rsidRDefault="000D5028" w:rsidP="00304B6B">
      <w:pPr>
        <w:autoSpaceDE w:val="0"/>
        <w:autoSpaceDN w:val="0"/>
        <w:adjustRightInd w:val="0"/>
        <w:ind w:left="284" w:right="-1049" w:hanging="284"/>
        <w:jc w:val="center"/>
        <w:rPr>
          <w:sz w:val="24"/>
          <w:szCs w:val="24"/>
        </w:rPr>
      </w:pPr>
      <w:r w:rsidRPr="0098296E">
        <w:rPr>
          <w:b/>
          <w:bCs/>
          <w:sz w:val="24"/>
          <w:szCs w:val="24"/>
        </w:rPr>
        <w:t>9. Pārējie noteikumi</w:t>
      </w:r>
    </w:p>
    <w:p w:rsidR="000D5028" w:rsidRPr="0098296E" w:rsidRDefault="000D5028" w:rsidP="001A7CE1">
      <w:pPr>
        <w:autoSpaceDE w:val="0"/>
        <w:autoSpaceDN w:val="0"/>
        <w:adjustRightInd w:val="0"/>
        <w:ind w:left="426" w:right="-1050" w:hanging="426"/>
        <w:jc w:val="both"/>
        <w:rPr>
          <w:sz w:val="24"/>
          <w:szCs w:val="24"/>
        </w:rPr>
      </w:pPr>
      <w:r w:rsidRPr="0098296E">
        <w:rPr>
          <w:sz w:val="24"/>
          <w:szCs w:val="24"/>
        </w:rPr>
        <w:t xml:space="preserve">9.1. Visi LĪGUMA grozījumi vai papildinājumi sastādāmi rakstveidā un pievienojami LĪGUMAM kā pielikumi, kas pēc tam, kad tos parakstījušas abas PUSES, kļūst par neatņemamām LĪGUMA sastāvdaļām. </w:t>
      </w:r>
    </w:p>
    <w:p w:rsidR="000D5028" w:rsidRPr="0098296E" w:rsidRDefault="000D5028" w:rsidP="001A7CE1">
      <w:pPr>
        <w:autoSpaceDE w:val="0"/>
        <w:autoSpaceDN w:val="0"/>
        <w:adjustRightInd w:val="0"/>
        <w:ind w:left="426" w:right="-1050" w:hanging="426"/>
        <w:jc w:val="both"/>
        <w:rPr>
          <w:sz w:val="24"/>
          <w:szCs w:val="24"/>
        </w:rPr>
      </w:pPr>
      <w:r w:rsidRPr="0098296E">
        <w:rPr>
          <w:sz w:val="24"/>
          <w:szCs w:val="24"/>
        </w:rPr>
        <w:t>9.2. Ja kāds no LĪGUMA noteikumiem zaudē spēku, tas neietekmē pārējo LĪGUMA noteikumu spēkā esamību.</w:t>
      </w:r>
    </w:p>
    <w:p w:rsidR="000D5028" w:rsidRPr="0098296E" w:rsidRDefault="000D5028" w:rsidP="001A7CE1">
      <w:pPr>
        <w:autoSpaceDE w:val="0"/>
        <w:autoSpaceDN w:val="0"/>
        <w:adjustRightInd w:val="0"/>
        <w:ind w:left="426" w:right="-1050" w:hanging="426"/>
        <w:jc w:val="both"/>
        <w:rPr>
          <w:sz w:val="24"/>
          <w:szCs w:val="24"/>
        </w:rPr>
      </w:pPr>
      <w:r w:rsidRPr="0098296E">
        <w:rPr>
          <w:sz w:val="24"/>
          <w:szCs w:val="24"/>
        </w:rPr>
        <w:t xml:space="preserve">9.3. Visi paziņojumi un pretenzijas, kas saistītas ar LĪGUMA izpildi, ir iesniedzamas rakstiski </w:t>
      </w:r>
      <w:r>
        <w:rPr>
          <w:sz w:val="24"/>
          <w:szCs w:val="24"/>
        </w:rPr>
        <w:t>LĪGUMĀ</w:t>
      </w:r>
      <w:r w:rsidRPr="0098296E">
        <w:rPr>
          <w:sz w:val="24"/>
          <w:szCs w:val="24"/>
        </w:rPr>
        <w:t xml:space="preserve"> norādītajā </w:t>
      </w:r>
      <w:r>
        <w:rPr>
          <w:sz w:val="24"/>
          <w:szCs w:val="24"/>
        </w:rPr>
        <w:t>a</w:t>
      </w:r>
      <w:r w:rsidRPr="0098296E">
        <w:rPr>
          <w:sz w:val="24"/>
          <w:szCs w:val="24"/>
        </w:rPr>
        <w:t>t</w:t>
      </w:r>
      <w:r>
        <w:rPr>
          <w:sz w:val="24"/>
          <w:szCs w:val="24"/>
        </w:rPr>
        <w:t xml:space="preserve">tiecīgās </w:t>
      </w:r>
      <w:r w:rsidRPr="0098296E">
        <w:rPr>
          <w:sz w:val="24"/>
          <w:szCs w:val="24"/>
        </w:rPr>
        <w:t>PUSE</w:t>
      </w:r>
      <w:r>
        <w:rPr>
          <w:sz w:val="24"/>
          <w:szCs w:val="24"/>
        </w:rPr>
        <w:t>S</w:t>
      </w:r>
      <w:r w:rsidRPr="0098296E">
        <w:rPr>
          <w:sz w:val="24"/>
          <w:szCs w:val="24"/>
        </w:rPr>
        <w:t xml:space="preserve"> adresē, un tās ir uzskatāmas par saņemtām 5.(piektajā) darba dienā pēc nosūtīšanas ar ierakstītu pasta sūtījumu vai nodošanas dienā, ja tās nodotas personīgi pret parakstu.</w:t>
      </w:r>
    </w:p>
    <w:p w:rsidR="000D5028" w:rsidRPr="0098296E" w:rsidRDefault="000D5028" w:rsidP="001A7CE1">
      <w:pPr>
        <w:autoSpaceDE w:val="0"/>
        <w:autoSpaceDN w:val="0"/>
        <w:adjustRightInd w:val="0"/>
        <w:ind w:left="426" w:right="-1050" w:hanging="426"/>
        <w:jc w:val="both"/>
        <w:rPr>
          <w:sz w:val="24"/>
          <w:szCs w:val="24"/>
        </w:rPr>
      </w:pPr>
      <w:r w:rsidRPr="0098296E">
        <w:rPr>
          <w:sz w:val="24"/>
          <w:szCs w:val="24"/>
        </w:rPr>
        <w:t xml:space="preserve">9.4. LĪGUMS sastādīts latviešu valodā uz 2 (divām) lapām 2 (divos) eksemplāros – pa vienam katrai no PUSĒM. Katram LĪGUMA eksemplāram ir vienāds juridisks spēks.. </w:t>
      </w:r>
    </w:p>
    <w:p w:rsidR="000D5028" w:rsidRPr="0098296E" w:rsidRDefault="000D5028" w:rsidP="00304B6B">
      <w:pPr>
        <w:autoSpaceDE w:val="0"/>
        <w:autoSpaceDN w:val="0"/>
        <w:adjustRightInd w:val="0"/>
        <w:ind w:left="284" w:right="-1049" w:hanging="284"/>
        <w:jc w:val="center"/>
        <w:rPr>
          <w:b/>
          <w:bCs/>
          <w:sz w:val="24"/>
          <w:szCs w:val="24"/>
        </w:rPr>
      </w:pPr>
      <w:r w:rsidRPr="0098296E">
        <w:rPr>
          <w:b/>
          <w:bCs/>
          <w:sz w:val="24"/>
          <w:szCs w:val="24"/>
        </w:rPr>
        <w:t>10. Pušu rekvizīti un paraksti</w:t>
      </w:r>
    </w:p>
    <w:tbl>
      <w:tblPr>
        <w:tblW w:w="9923" w:type="dxa"/>
        <w:tblInd w:w="-176" w:type="dxa"/>
        <w:tblLook w:val="04A0"/>
      </w:tblPr>
      <w:tblGrid>
        <w:gridCol w:w="4820"/>
        <w:gridCol w:w="5103"/>
      </w:tblGrid>
      <w:tr w:rsidR="000D5028" w:rsidRPr="0098296E" w:rsidTr="00DA5A00">
        <w:tc>
          <w:tcPr>
            <w:tcW w:w="4820" w:type="dxa"/>
          </w:tcPr>
          <w:p w:rsidR="000D5028" w:rsidRPr="0098296E" w:rsidRDefault="000D5028" w:rsidP="00DA5A00">
            <w:pPr>
              <w:autoSpaceDE w:val="0"/>
              <w:autoSpaceDN w:val="0"/>
              <w:adjustRightInd w:val="0"/>
              <w:ind w:right="-999" w:firstLine="176"/>
              <w:jc w:val="both"/>
              <w:rPr>
                <w:b/>
                <w:bCs/>
                <w:sz w:val="24"/>
                <w:szCs w:val="24"/>
              </w:rPr>
            </w:pPr>
            <w:r w:rsidRPr="0098296E">
              <w:rPr>
                <w:bCs/>
                <w:sz w:val="24"/>
                <w:szCs w:val="24"/>
              </w:rPr>
              <w:t>PASŪTĪTĀJS</w:t>
            </w:r>
          </w:p>
        </w:tc>
        <w:tc>
          <w:tcPr>
            <w:tcW w:w="5103" w:type="dxa"/>
          </w:tcPr>
          <w:p w:rsidR="000D5028" w:rsidRPr="0098296E" w:rsidRDefault="000D5028" w:rsidP="00DA5A00">
            <w:pPr>
              <w:autoSpaceDE w:val="0"/>
              <w:autoSpaceDN w:val="0"/>
              <w:adjustRightInd w:val="0"/>
              <w:ind w:right="317"/>
              <w:jc w:val="both"/>
              <w:rPr>
                <w:bCs/>
                <w:sz w:val="24"/>
                <w:szCs w:val="24"/>
              </w:rPr>
            </w:pPr>
            <w:r w:rsidRPr="0098296E">
              <w:rPr>
                <w:bCs/>
                <w:sz w:val="24"/>
                <w:szCs w:val="24"/>
              </w:rPr>
              <w:t>IZPILDĪTĀJS</w:t>
            </w:r>
          </w:p>
        </w:tc>
      </w:tr>
      <w:tr w:rsidR="000D5028" w:rsidRPr="0098296E" w:rsidTr="00DA5A00">
        <w:tc>
          <w:tcPr>
            <w:tcW w:w="4820" w:type="dxa"/>
          </w:tcPr>
          <w:p w:rsidR="000D5028" w:rsidRPr="0098296E" w:rsidRDefault="000D5028" w:rsidP="00DA5A00">
            <w:pPr>
              <w:autoSpaceDE w:val="0"/>
              <w:autoSpaceDN w:val="0"/>
              <w:adjustRightInd w:val="0"/>
              <w:ind w:right="-999" w:firstLine="176"/>
              <w:jc w:val="both"/>
              <w:rPr>
                <w:b/>
                <w:bCs/>
                <w:sz w:val="24"/>
                <w:szCs w:val="24"/>
              </w:rPr>
            </w:pPr>
            <w:r w:rsidRPr="0098296E">
              <w:rPr>
                <w:b/>
                <w:bCs/>
                <w:sz w:val="24"/>
                <w:szCs w:val="24"/>
              </w:rPr>
              <w:t>Rēzeknes novada pašvaldība</w:t>
            </w:r>
          </w:p>
        </w:tc>
        <w:tc>
          <w:tcPr>
            <w:tcW w:w="5103" w:type="dxa"/>
          </w:tcPr>
          <w:p w:rsidR="000D5028" w:rsidRPr="0098296E" w:rsidRDefault="00304B6B" w:rsidP="00304B6B">
            <w:pPr>
              <w:autoSpaceDE w:val="0"/>
              <w:autoSpaceDN w:val="0"/>
              <w:adjustRightInd w:val="0"/>
              <w:ind w:right="317"/>
              <w:jc w:val="both"/>
              <w:rPr>
                <w:b/>
                <w:bCs/>
                <w:sz w:val="24"/>
                <w:szCs w:val="24"/>
              </w:rPr>
            </w:pPr>
            <w:r>
              <w:rPr>
                <w:b/>
                <w:bCs/>
                <w:sz w:val="24"/>
                <w:szCs w:val="24"/>
              </w:rPr>
              <w:t>SIA „Sound Systems”</w:t>
            </w:r>
          </w:p>
        </w:tc>
      </w:tr>
      <w:tr w:rsidR="000D5028" w:rsidRPr="0098296E" w:rsidTr="00DA5A00">
        <w:tc>
          <w:tcPr>
            <w:tcW w:w="4820" w:type="dxa"/>
          </w:tcPr>
          <w:p w:rsidR="000D5028" w:rsidRPr="0098296E" w:rsidRDefault="000D5028" w:rsidP="00DA5A00">
            <w:pPr>
              <w:autoSpaceDE w:val="0"/>
              <w:autoSpaceDN w:val="0"/>
              <w:adjustRightInd w:val="0"/>
              <w:ind w:right="-999" w:firstLine="176"/>
              <w:jc w:val="both"/>
              <w:rPr>
                <w:bCs/>
                <w:sz w:val="24"/>
                <w:szCs w:val="24"/>
              </w:rPr>
            </w:pPr>
          </w:p>
        </w:tc>
        <w:tc>
          <w:tcPr>
            <w:tcW w:w="5103" w:type="dxa"/>
          </w:tcPr>
          <w:p w:rsidR="000D5028" w:rsidRPr="0098296E" w:rsidRDefault="000D5028" w:rsidP="00304B6B">
            <w:pPr>
              <w:autoSpaceDE w:val="0"/>
              <w:autoSpaceDN w:val="0"/>
              <w:adjustRightInd w:val="0"/>
              <w:ind w:right="317"/>
              <w:jc w:val="both"/>
              <w:rPr>
                <w:bCs/>
                <w:sz w:val="24"/>
                <w:szCs w:val="24"/>
              </w:rPr>
            </w:pPr>
          </w:p>
        </w:tc>
      </w:tr>
      <w:tr w:rsidR="000D5028" w:rsidRPr="0098296E" w:rsidTr="00DA5A00">
        <w:tc>
          <w:tcPr>
            <w:tcW w:w="4820" w:type="dxa"/>
          </w:tcPr>
          <w:p w:rsidR="000D5028" w:rsidRPr="0098296E" w:rsidRDefault="000D5028" w:rsidP="00DA5A00">
            <w:pPr>
              <w:autoSpaceDE w:val="0"/>
              <w:autoSpaceDN w:val="0"/>
              <w:adjustRightInd w:val="0"/>
              <w:ind w:right="-999" w:firstLine="176"/>
              <w:jc w:val="both"/>
              <w:rPr>
                <w:bCs/>
                <w:sz w:val="24"/>
                <w:szCs w:val="24"/>
              </w:rPr>
            </w:pPr>
          </w:p>
        </w:tc>
        <w:tc>
          <w:tcPr>
            <w:tcW w:w="5103" w:type="dxa"/>
          </w:tcPr>
          <w:p w:rsidR="00304B6B" w:rsidRPr="0098296E" w:rsidRDefault="00304B6B" w:rsidP="00304B6B">
            <w:pPr>
              <w:autoSpaceDE w:val="0"/>
              <w:autoSpaceDN w:val="0"/>
              <w:adjustRightInd w:val="0"/>
              <w:ind w:right="317"/>
              <w:jc w:val="both"/>
              <w:rPr>
                <w:bCs/>
                <w:sz w:val="24"/>
                <w:szCs w:val="24"/>
              </w:rPr>
            </w:pPr>
          </w:p>
        </w:tc>
      </w:tr>
      <w:tr w:rsidR="000D5028" w:rsidRPr="0098296E" w:rsidTr="00DA5A00">
        <w:tc>
          <w:tcPr>
            <w:tcW w:w="4820" w:type="dxa"/>
          </w:tcPr>
          <w:p w:rsidR="000D5028" w:rsidRPr="0098296E" w:rsidRDefault="000D5028" w:rsidP="00DA5A00">
            <w:pPr>
              <w:autoSpaceDE w:val="0"/>
              <w:autoSpaceDN w:val="0"/>
              <w:adjustRightInd w:val="0"/>
              <w:ind w:right="-999" w:firstLine="176"/>
              <w:jc w:val="both"/>
              <w:rPr>
                <w:bCs/>
                <w:sz w:val="24"/>
                <w:szCs w:val="24"/>
              </w:rPr>
            </w:pPr>
          </w:p>
        </w:tc>
        <w:tc>
          <w:tcPr>
            <w:tcW w:w="5103" w:type="dxa"/>
          </w:tcPr>
          <w:p w:rsidR="000D5028" w:rsidRPr="0098296E" w:rsidRDefault="000D5028" w:rsidP="00304B6B">
            <w:pPr>
              <w:autoSpaceDE w:val="0"/>
              <w:autoSpaceDN w:val="0"/>
              <w:adjustRightInd w:val="0"/>
              <w:ind w:right="317"/>
              <w:jc w:val="both"/>
              <w:rPr>
                <w:bCs/>
                <w:sz w:val="24"/>
                <w:szCs w:val="24"/>
              </w:rPr>
            </w:pPr>
          </w:p>
        </w:tc>
      </w:tr>
      <w:tr w:rsidR="000D5028" w:rsidRPr="0098296E" w:rsidTr="00DA5A00">
        <w:tc>
          <w:tcPr>
            <w:tcW w:w="4820" w:type="dxa"/>
          </w:tcPr>
          <w:p w:rsidR="000D5028" w:rsidRPr="0098296E" w:rsidRDefault="000D5028" w:rsidP="00DA5A00">
            <w:pPr>
              <w:autoSpaceDE w:val="0"/>
              <w:autoSpaceDN w:val="0"/>
              <w:adjustRightInd w:val="0"/>
              <w:ind w:right="-999" w:firstLine="176"/>
              <w:jc w:val="both"/>
              <w:rPr>
                <w:bCs/>
                <w:sz w:val="24"/>
                <w:szCs w:val="24"/>
              </w:rPr>
            </w:pPr>
          </w:p>
        </w:tc>
        <w:tc>
          <w:tcPr>
            <w:tcW w:w="5103" w:type="dxa"/>
          </w:tcPr>
          <w:p w:rsidR="000D5028" w:rsidRPr="0098296E" w:rsidRDefault="000D5028" w:rsidP="00304B6B">
            <w:pPr>
              <w:autoSpaceDE w:val="0"/>
              <w:autoSpaceDN w:val="0"/>
              <w:adjustRightInd w:val="0"/>
              <w:ind w:right="317"/>
              <w:jc w:val="both"/>
              <w:rPr>
                <w:bCs/>
                <w:sz w:val="24"/>
                <w:szCs w:val="24"/>
              </w:rPr>
            </w:pPr>
          </w:p>
        </w:tc>
      </w:tr>
      <w:tr w:rsidR="000D5028" w:rsidRPr="0098296E" w:rsidTr="00DA5A00">
        <w:tc>
          <w:tcPr>
            <w:tcW w:w="4820" w:type="dxa"/>
          </w:tcPr>
          <w:p w:rsidR="000D5028" w:rsidRPr="0098296E" w:rsidRDefault="000D5028" w:rsidP="00DA5A00">
            <w:pPr>
              <w:autoSpaceDE w:val="0"/>
              <w:autoSpaceDN w:val="0"/>
              <w:adjustRightInd w:val="0"/>
              <w:ind w:right="-999" w:firstLine="176"/>
              <w:jc w:val="both"/>
              <w:rPr>
                <w:bCs/>
                <w:sz w:val="24"/>
                <w:szCs w:val="24"/>
              </w:rPr>
            </w:pPr>
          </w:p>
        </w:tc>
        <w:tc>
          <w:tcPr>
            <w:tcW w:w="5103" w:type="dxa"/>
          </w:tcPr>
          <w:p w:rsidR="000D5028" w:rsidRPr="0098296E" w:rsidRDefault="000D5028" w:rsidP="00304B6B">
            <w:pPr>
              <w:autoSpaceDE w:val="0"/>
              <w:autoSpaceDN w:val="0"/>
              <w:adjustRightInd w:val="0"/>
              <w:ind w:right="317"/>
              <w:jc w:val="both"/>
              <w:rPr>
                <w:bCs/>
                <w:sz w:val="24"/>
                <w:szCs w:val="24"/>
              </w:rPr>
            </w:pPr>
          </w:p>
        </w:tc>
      </w:tr>
      <w:tr w:rsidR="000D5028" w:rsidRPr="0098296E" w:rsidTr="00DA5A00">
        <w:tc>
          <w:tcPr>
            <w:tcW w:w="4820" w:type="dxa"/>
          </w:tcPr>
          <w:p w:rsidR="000D5028" w:rsidRPr="0098296E" w:rsidRDefault="000D5028" w:rsidP="00DA5A00">
            <w:pPr>
              <w:autoSpaceDE w:val="0"/>
              <w:autoSpaceDN w:val="0"/>
              <w:adjustRightInd w:val="0"/>
              <w:ind w:right="-999" w:firstLine="176"/>
              <w:jc w:val="both"/>
              <w:rPr>
                <w:bCs/>
                <w:sz w:val="24"/>
                <w:szCs w:val="24"/>
              </w:rPr>
            </w:pPr>
          </w:p>
        </w:tc>
        <w:tc>
          <w:tcPr>
            <w:tcW w:w="5103" w:type="dxa"/>
          </w:tcPr>
          <w:p w:rsidR="000D5028" w:rsidRPr="0098296E" w:rsidRDefault="000D5028" w:rsidP="00DA5A00">
            <w:pPr>
              <w:autoSpaceDE w:val="0"/>
              <w:autoSpaceDN w:val="0"/>
              <w:adjustRightInd w:val="0"/>
              <w:ind w:right="317"/>
              <w:jc w:val="both"/>
              <w:rPr>
                <w:bCs/>
                <w:sz w:val="24"/>
                <w:szCs w:val="24"/>
              </w:rPr>
            </w:pPr>
          </w:p>
        </w:tc>
      </w:tr>
      <w:tr w:rsidR="00304B6B" w:rsidRPr="0098296E" w:rsidTr="00DA5A00">
        <w:tc>
          <w:tcPr>
            <w:tcW w:w="4820" w:type="dxa"/>
          </w:tcPr>
          <w:p w:rsidR="00304B6B" w:rsidRPr="0098296E" w:rsidRDefault="00304B6B" w:rsidP="00DA5A00">
            <w:pPr>
              <w:autoSpaceDE w:val="0"/>
              <w:autoSpaceDN w:val="0"/>
              <w:adjustRightInd w:val="0"/>
              <w:ind w:right="-999"/>
              <w:jc w:val="both"/>
              <w:rPr>
                <w:bCs/>
                <w:sz w:val="24"/>
                <w:szCs w:val="24"/>
              </w:rPr>
            </w:pPr>
          </w:p>
        </w:tc>
        <w:tc>
          <w:tcPr>
            <w:tcW w:w="5103" w:type="dxa"/>
          </w:tcPr>
          <w:p w:rsidR="00304B6B" w:rsidRPr="0098296E" w:rsidRDefault="00304B6B" w:rsidP="00DA5A00">
            <w:pPr>
              <w:autoSpaceDE w:val="0"/>
              <w:autoSpaceDN w:val="0"/>
              <w:adjustRightInd w:val="0"/>
              <w:ind w:right="-999"/>
              <w:jc w:val="both"/>
              <w:rPr>
                <w:bCs/>
                <w:sz w:val="24"/>
                <w:szCs w:val="24"/>
              </w:rPr>
            </w:pPr>
          </w:p>
        </w:tc>
      </w:tr>
    </w:tbl>
    <w:p w:rsidR="00491401" w:rsidRDefault="00491401"/>
    <w:sectPr w:rsidR="00491401" w:rsidSect="00491401">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388" w:rsidRDefault="008E1388" w:rsidP="001A7CE1">
      <w:r>
        <w:separator/>
      </w:r>
    </w:p>
  </w:endnote>
  <w:endnote w:type="continuationSeparator" w:id="0">
    <w:p w:rsidR="008E1388" w:rsidRDefault="008E1388" w:rsidP="001A7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968016"/>
      <w:docPartObj>
        <w:docPartGallery w:val="Page Numbers (Bottom of Page)"/>
        <w:docPartUnique/>
      </w:docPartObj>
    </w:sdtPr>
    <w:sdtEndPr>
      <w:rPr>
        <w:sz w:val="24"/>
        <w:szCs w:val="24"/>
      </w:rPr>
    </w:sdtEndPr>
    <w:sdtContent>
      <w:p w:rsidR="001A7CE1" w:rsidRPr="001A7CE1" w:rsidRDefault="007B04FE">
        <w:pPr>
          <w:pStyle w:val="Footer"/>
          <w:jc w:val="center"/>
          <w:rPr>
            <w:sz w:val="24"/>
            <w:szCs w:val="24"/>
          </w:rPr>
        </w:pPr>
        <w:r w:rsidRPr="001A7CE1">
          <w:rPr>
            <w:sz w:val="24"/>
            <w:szCs w:val="24"/>
          </w:rPr>
          <w:fldChar w:fldCharType="begin"/>
        </w:r>
        <w:r w:rsidR="001A7CE1" w:rsidRPr="001A7CE1">
          <w:rPr>
            <w:sz w:val="24"/>
            <w:szCs w:val="24"/>
          </w:rPr>
          <w:instrText xml:space="preserve"> PAGE   \* MERGEFORMAT </w:instrText>
        </w:r>
        <w:r w:rsidRPr="001A7CE1">
          <w:rPr>
            <w:sz w:val="24"/>
            <w:szCs w:val="24"/>
          </w:rPr>
          <w:fldChar w:fldCharType="separate"/>
        </w:r>
        <w:r w:rsidR="007F0C6B">
          <w:rPr>
            <w:noProof/>
            <w:sz w:val="24"/>
            <w:szCs w:val="24"/>
          </w:rPr>
          <w:t>2</w:t>
        </w:r>
        <w:r w:rsidRPr="001A7CE1">
          <w:rPr>
            <w:sz w:val="24"/>
            <w:szCs w:val="24"/>
          </w:rPr>
          <w:fldChar w:fldCharType="end"/>
        </w:r>
      </w:p>
    </w:sdtContent>
  </w:sdt>
  <w:p w:rsidR="001A7CE1" w:rsidRDefault="001A7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388" w:rsidRDefault="008E1388" w:rsidP="001A7CE1">
      <w:r>
        <w:separator/>
      </w:r>
    </w:p>
  </w:footnote>
  <w:footnote w:type="continuationSeparator" w:id="0">
    <w:p w:rsidR="008E1388" w:rsidRDefault="008E1388" w:rsidP="001A7C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D5028"/>
    <w:rsid w:val="000D5028"/>
    <w:rsid w:val="001A7CE1"/>
    <w:rsid w:val="00304B6B"/>
    <w:rsid w:val="00491401"/>
    <w:rsid w:val="006429A6"/>
    <w:rsid w:val="00651A58"/>
    <w:rsid w:val="007B04FE"/>
    <w:rsid w:val="007F0C6B"/>
    <w:rsid w:val="007F76AC"/>
    <w:rsid w:val="008E1388"/>
    <w:rsid w:val="00B2379A"/>
    <w:rsid w:val="00EE38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28"/>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7CE1"/>
    <w:pPr>
      <w:tabs>
        <w:tab w:val="center" w:pos="4153"/>
        <w:tab w:val="right" w:pos="8306"/>
      </w:tabs>
    </w:pPr>
  </w:style>
  <w:style w:type="character" w:customStyle="1" w:styleId="HeaderChar">
    <w:name w:val="Header Char"/>
    <w:basedOn w:val="DefaultParagraphFont"/>
    <w:link w:val="Header"/>
    <w:uiPriority w:val="99"/>
    <w:semiHidden/>
    <w:rsid w:val="001A7CE1"/>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1A7CE1"/>
    <w:pPr>
      <w:tabs>
        <w:tab w:val="center" w:pos="4153"/>
        <w:tab w:val="right" w:pos="8306"/>
      </w:tabs>
    </w:pPr>
  </w:style>
  <w:style w:type="character" w:customStyle="1" w:styleId="FooterChar">
    <w:name w:val="Footer Char"/>
    <w:basedOn w:val="DefaultParagraphFont"/>
    <w:link w:val="Footer"/>
    <w:uiPriority w:val="99"/>
    <w:rsid w:val="001A7CE1"/>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3469</Words>
  <Characters>1978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Larisa Vinogradova</cp:lastModifiedBy>
  <cp:revision>4</cp:revision>
  <dcterms:created xsi:type="dcterms:W3CDTF">2016-07-18T05:01:00Z</dcterms:created>
  <dcterms:modified xsi:type="dcterms:W3CDTF">2016-07-18T05:03:00Z</dcterms:modified>
</cp:coreProperties>
</file>