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2ED" w:rsidRDefault="00AC32ED" w:rsidP="00AC32ED">
      <w:pPr>
        <w:jc w:val="center"/>
        <w:rPr>
          <w:b/>
          <w:lang w:eastAsia="en-US"/>
        </w:rPr>
      </w:pPr>
      <w:r>
        <w:rPr>
          <w:b/>
          <w:lang w:eastAsia="en-US"/>
        </w:rPr>
        <w:t xml:space="preserve">LĪGUMS Nr. </w:t>
      </w:r>
      <w:r w:rsidR="00C224E3">
        <w:rPr>
          <w:b/>
          <w:lang w:eastAsia="en-US"/>
        </w:rPr>
        <w:t>8.4/58</w:t>
      </w:r>
    </w:p>
    <w:p w:rsidR="00AC32ED" w:rsidRDefault="00AC32ED" w:rsidP="00AC32ED">
      <w:pPr>
        <w:jc w:val="center"/>
        <w:rPr>
          <w:b/>
          <w:lang w:eastAsia="en-US"/>
        </w:rPr>
      </w:pPr>
      <w:r>
        <w:rPr>
          <w:b/>
          <w:lang w:eastAsia="en-US"/>
        </w:rPr>
        <w:t xml:space="preserve">par ZZ </w:t>
      </w:r>
      <w:proofErr w:type="spellStart"/>
      <w:r>
        <w:rPr>
          <w:b/>
          <w:lang w:eastAsia="en-US"/>
        </w:rPr>
        <w:t>Dats</w:t>
      </w:r>
      <w:proofErr w:type="spellEnd"/>
      <w:r>
        <w:rPr>
          <w:b/>
          <w:lang w:eastAsia="en-US"/>
        </w:rPr>
        <w:t xml:space="preserve"> Vienotās Pašvaldību Sistēmas (VPS) programmatūras uzturēšanas un </w:t>
      </w:r>
    </w:p>
    <w:p w:rsidR="00AC32ED" w:rsidRDefault="00AC32ED" w:rsidP="00AC32ED">
      <w:pPr>
        <w:spacing w:after="120"/>
        <w:jc w:val="center"/>
        <w:rPr>
          <w:b/>
          <w:lang w:eastAsia="en-US"/>
        </w:rPr>
      </w:pPr>
      <w:r>
        <w:rPr>
          <w:b/>
          <w:lang w:eastAsia="en-US"/>
        </w:rPr>
        <w:t>datu izmitināšanas pakalpojumu sniegšanu</w:t>
      </w:r>
    </w:p>
    <w:p w:rsidR="00AC32ED" w:rsidRPr="001E6AC4" w:rsidRDefault="00AC32ED" w:rsidP="00AC32ED">
      <w:pPr>
        <w:tabs>
          <w:tab w:val="left" w:pos="720"/>
        </w:tabs>
        <w:spacing w:after="120"/>
      </w:pPr>
      <w:r>
        <w:t xml:space="preserve">Rēzeknē                                                                                 </w:t>
      </w:r>
      <w:r w:rsidR="006119ED">
        <w:t xml:space="preserve">                           </w:t>
      </w:r>
      <w:r>
        <w:t>2018</w:t>
      </w:r>
      <w:r w:rsidRPr="001E6AC4">
        <w:t xml:space="preserve">.gada </w:t>
      </w:r>
      <w:r w:rsidR="006119ED">
        <w:t>15.janvārī</w:t>
      </w:r>
    </w:p>
    <w:p w:rsidR="00AC32ED" w:rsidRDefault="00AC32ED" w:rsidP="00397323">
      <w:pPr>
        <w:ind w:left="-45"/>
        <w:jc w:val="both"/>
      </w:pPr>
      <w:r>
        <w:rPr>
          <w:b/>
        </w:rPr>
        <w:t>Rēzeknes novada pašvaldība</w:t>
      </w:r>
      <w:r w:rsidRPr="001E6AC4">
        <w:rPr>
          <w:sz w:val="22"/>
          <w:szCs w:val="22"/>
        </w:rPr>
        <w:t xml:space="preserve">, </w:t>
      </w:r>
      <w:r>
        <w:rPr>
          <w:sz w:val="22"/>
          <w:szCs w:val="22"/>
        </w:rPr>
        <w:t xml:space="preserve">reģistrācijas Nr.90009112679, </w:t>
      </w:r>
      <w:r w:rsidRPr="001E6AC4">
        <w:rPr>
          <w:sz w:val="22"/>
          <w:szCs w:val="22"/>
        </w:rPr>
        <w:t xml:space="preserve">turpmāk </w:t>
      </w:r>
      <w:r>
        <w:rPr>
          <w:sz w:val="22"/>
          <w:szCs w:val="22"/>
        </w:rPr>
        <w:t xml:space="preserve">– </w:t>
      </w:r>
      <w:r w:rsidRPr="001E6AC4">
        <w:t>PAKALPOJUMA SAŅĒMĒJS</w:t>
      </w:r>
      <w:r>
        <w:t>,</w:t>
      </w:r>
      <w:r w:rsidRPr="001E6AC4">
        <w:t xml:space="preserve"> no vienas puses, un </w:t>
      </w:r>
      <w:r w:rsidR="006119ED" w:rsidRPr="00CE3D32">
        <w:rPr>
          <w:b/>
        </w:rPr>
        <w:t xml:space="preserve">sabiedrība ar ierobežotu atbildību “ZZ </w:t>
      </w:r>
      <w:proofErr w:type="spellStart"/>
      <w:r w:rsidR="006119ED" w:rsidRPr="00CE3D32">
        <w:rPr>
          <w:b/>
        </w:rPr>
        <w:t>Dats</w:t>
      </w:r>
      <w:proofErr w:type="spellEnd"/>
      <w:r w:rsidR="006119ED" w:rsidRPr="00CE3D32">
        <w:rPr>
          <w:b/>
        </w:rPr>
        <w:t>”</w:t>
      </w:r>
      <w:r w:rsidRPr="00EF45E3">
        <w:t xml:space="preserve">, </w:t>
      </w:r>
      <w:r>
        <w:t>reģistrācijas Nr.</w:t>
      </w:r>
      <w:r w:rsidR="006119ED">
        <w:t>40003278467</w:t>
      </w:r>
      <w:r>
        <w:t xml:space="preserve">, </w:t>
      </w:r>
      <w:r w:rsidRPr="00EF45E3">
        <w:t xml:space="preserve">turpmāk </w:t>
      </w:r>
      <w:r>
        <w:t xml:space="preserve">– </w:t>
      </w:r>
      <w:r w:rsidRPr="00EF45E3">
        <w:t>PAKALPOJUMA SNIEDZĒJS</w:t>
      </w:r>
      <w:r>
        <w:t>,</w:t>
      </w:r>
      <w:r w:rsidRPr="00EF45E3">
        <w:t xml:space="preserve"> no otras puses, </w:t>
      </w:r>
      <w:r>
        <w:t xml:space="preserve">abi kopā vai katrs atsevišķi turpmāk arī PUSES vai PUSE, pamatojoties uz atklāta konkursa „ZZ </w:t>
      </w:r>
      <w:proofErr w:type="spellStart"/>
      <w:r>
        <w:t>Dats</w:t>
      </w:r>
      <w:proofErr w:type="spellEnd"/>
      <w:r>
        <w:t xml:space="preserve"> Vienotās Pašvaldību Sistēmas (VPD) programmatūras uzturēšanas un datu izmitināšanas pakalpojumu sniegšana” (identifikācijas Nr. </w:t>
      </w:r>
      <w:r w:rsidRPr="00853874">
        <w:t>RNP 201</w:t>
      </w:r>
      <w:r>
        <w:t>7</w:t>
      </w:r>
      <w:r w:rsidRPr="00853874">
        <w:t>/</w:t>
      </w:r>
      <w:r>
        <w:t>51</w:t>
      </w:r>
      <w:r w:rsidRPr="00853874">
        <w:t>)</w:t>
      </w:r>
      <w:r>
        <w:t xml:space="preserve"> rezultātiem, </w:t>
      </w:r>
      <w:r w:rsidRPr="00EF45E3">
        <w:t>noslēdz sekojoš</w:t>
      </w:r>
      <w:r>
        <w:t xml:space="preserve">u </w:t>
      </w:r>
      <w:r w:rsidRPr="00EF45E3">
        <w:t>līgumu</w:t>
      </w:r>
      <w:r>
        <w:t>,</w:t>
      </w:r>
      <w:r w:rsidRPr="00EF45E3">
        <w:t xml:space="preserve"> turpmāk</w:t>
      </w:r>
      <w:r>
        <w:t xml:space="preserve"> – </w:t>
      </w:r>
      <w:r w:rsidRPr="00EF45E3">
        <w:t>L</w:t>
      </w:r>
      <w:r>
        <w:t>ĪGUMS:</w:t>
      </w:r>
      <w:r w:rsidRPr="00EF45E3">
        <w:t xml:space="preserve"> </w:t>
      </w:r>
    </w:p>
    <w:p w:rsidR="00AC32ED" w:rsidRPr="00E50934" w:rsidRDefault="00AC32ED" w:rsidP="00AC32ED">
      <w:pPr>
        <w:numPr>
          <w:ilvl w:val="0"/>
          <w:numId w:val="1"/>
        </w:numPr>
        <w:ind w:left="-51" w:hanging="357"/>
        <w:jc w:val="center"/>
      </w:pPr>
      <w:r w:rsidRPr="00F24878">
        <w:rPr>
          <w:b/>
        </w:rPr>
        <w:t>Līguma priekšmets</w:t>
      </w:r>
    </w:p>
    <w:p w:rsidR="00AC32ED" w:rsidRDefault="00AC32ED" w:rsidP="00AC32ED">
      <w:pPr>
        <w:numPr>
          <w:ilvl w:val="1"/>
          <w:numId w:val="1"/>
        </w:numPr>
        <w:tabs>
          <w:tab w:val="left" w:pos="993"/>
          <w:tab w:val="left" w:pos="1134"/>
        </w:tabs>
        <w:ind w:left="0" w:firstLine="567"/>
        <w:jc w:val="both"/>
      </w:pPr>
      <w:r w:rsidRPr="00D61592">
        <w:t>P</w:t>
      </w:r>
      <w:r>
        <w:t xml:space="preserve">akalpojuma sniedzējs sniedz ZZ </w:t>
      </w:r>
      <w:proofErr w:type="spellStart"/>
      <w:r>
        <w:t>Dats</w:t>
      </w:r>
      <w:proofErr w:type="spellEnd"/>
      <w:r>
        <w:t xml:space="preserve"> </w:t>
      </w:r>
      <w:r w:rsidRPr="00D61592">
        <w:t>V</w:t>
      </w:r>
      <w:r>
        <w:t>ienotās Pašvaldības Sistēmas (VPS)</w:t>
      </w:r>
      <w:r w:rsidRPr="00EF45E3">
        <w:t xml:space="preserve"> </w:t>
      </w:r>
      <w:r>
        <w:t xml:space="preserve">programmatūras, turpmāk – PROGRAMMAS, uzturēšanas un, </w:t>
      </w:r>
      <w:r w:rsidRPr="00E50934">
        <w:t xml:space="preserve">ja tas nepieciešams, ar šo </w:t>
      </w:r>
      <w:r>
        <w:t>P</w:t>
      </w:r>
      <w:r w:rsidRPr="00E50934">
        <w:t>rogrammu saistīto datu bāzu izmitināšanas</w:t>
      </w:r>
      <w:r>
        <w:t xml:space="preserve"> pakalpojumus.</w:t>
      </w:r>
    </w:p>
    <w:p w:rsidR="00AC32ED" w:rsidRDefault="00AC32ED" w:rsidP="00AC32ED">
      <w:pPr>
        <w:numPr>
          <w:ilvl w:val="1"/>
          <w:numId w:val="1"/>
        </w:numPr>
        <w:tabs>
          <w:tab w:val="left" w:pos="993"/>
          <w:tab w:val="left" w:pos="1134"/>
        </w:tabs>
        <w:ind w:left="0" w:firstLine="567"/>
        <w:jc w:val="both"/>
      </w:pPr>
      <w:r w:rsidRPr="00D61592">
        <w:t xml:space="preserve">Līgums attiecas </w:t>
      </w:r>
      <w:r>
        <w:t>tikai uz tām Programmām, kuras iedarbinātas līdz Līguma noslēgšanas datumam.</w:t>
      </w:r>
    </w:p>
    <w:p w:rsidR="00AC32ED" w:rsidRPr="00E50934" w:rsidRDefault="00AC32ED" w:rsidP="00AC32ED">
      <w:pPr>
        <w:numPr>
          <w:ilvl w:val="1"/>
          <w:numId w:val="1"/>
        </w:numPr>
        <w:tabs>
          <w:tab w:val="left" w:pos="993"/>
        </w:tabs>
        <w:ind w:left="0" w:firstLine="567"/>
        <w:jc w:val="both"/>
      </w:pPr>
      <w:r w:rsidRPr="00E50934">
        <w:t>Programmu licencēšanas nosacījumus nosaka P</w:t>
      </w:r>
      <w:r>
        <w:t xml:space="preserve">akalpojuma saņēmējam </w:t>
      </w:r>
      <w:r w:rsidRPr="00E50934">
        <w:t xml:space="preserve">izsniegtā Programmu </w:t>
      </w:r>
      <w:r>
        <w:t>l</w:t>
      </w:r>
      <w:r w:rsidRPr="00E50934">
        <w:t>icence.</w:t>
      </w:r>
    </w:p>
    <w:p w:rsidR="00AC32ED" w:rsidRDefault="00AC32ED" w:rsidP="00AC32ED">
      <w:pPr>
        <w:ind w:firstLine="567"/>
        <w:jc w:val="both"/>
      </w:pPr>
      <w:r>
        <w:t xml:space="preserve">1.4. </w:t>
      </w:r>
      <w:r w:rsidRPr="00E50934">
        <w:t>P</w:t>
      </w:r>
      <w:r>
        <w:t>akalpojuma sniedzējs</w:t>
      </w:r>
      <w:r w:rsidRPr="00E50934">
        <w:t xml:space="preserve"> </w:t>
      </w:r>
      <w:r>
        <w:t xml:space="preserve">Pakalpojuma saņēmējam </w:t>
      </w:r>
      <w:r w:rsidRPr="00E50934">
        <w:t xml:space="preserve">sniedz Līguma </w:t>
      </w:r>
      <w:r>
        <w:t>1.2.</w:t>
      </w:r>
      <w:r w:rsidRPr="00E50934">
        <w:t>punktā minēto P</w:t>
      </w:r>
      <w:r>
        <w:t xml:space="preserve">rogrammu uzturēšanu, tai skaitā, ja tas nepieciešams ar šo Programmu saistīto datu bāzu izmitināšanas pakalpojumus, turpmāk – PAKALPOJUMI, </w:t>
      </w:r>
      <w:r w:rsidRPr="0051516C">
        <w:rPr>
          <w:b/>
        </w:rPr>
        <w:t>no 201</w:t>
      </w:r>
      <w:r>
        <w:rPr>
          <w:b/>
        </w:rPr>
        <w:t>8</w:t>
      </w:r>
      <w:r w:rsidRPr="0051516C">
        <w:rPr>
          <w:b/>
        </w:rPr>
        <w:t>.gada 1.janvāra līdz 20</w:t>
      </w:r>
      <w:r>
        <w:rPr>
          <w:b/>
        </w:rPr>
        <w:t>2</w:t>
      </w:r>
      <w:r w:rsidR="00A71A9A">
        <w:rPr>
          <w:b/>
        </w:rPr>
        <w:t>0</w:t>
      </w:r>
      <w:r w:rsidRPr="0051516C">
        <w:rPr>
          <w:b/>
        </w:rPr>
        <w:t xml:space="preserve">.gada </w:t>
      </w:r>
      <w:r w:rsidR="00A71A9A">
        <w:rPr>
          <w:b/>
        </w:rPr>
        <w:t>3</w:t>
      </w:r>
      <w:r w:rsidRPr="0051516C">
        <w:rPr>
          <w:b/>
        </w:rPr>
        <w:t>1.</w:t>
      </w:r>
      <w:r w:rsidR="00A71A9A">
        <w:rPr>
          <w:b/>
        </w:rPr>
        <w:t>decemb</w:t>
      </w:r>
      <w:r w:rsidRPr="0051516C">
        <w:rPr>
          <w:b/>
        </w:rPr>
        <w:t>rim</w:t>
      </w:r>
      <w:r>
        <w:t>.</w:t>
      </w:r>
      <w:r w:rsidRPr="00E50934">
        <w:t xml:space="preserve"> </w:t>
      </w:r>
    </w:p>
    <w:p w:rsidR="00AC32ED" w:rsidRPr="0051516C" w:rsidRDefault="00AC32ED" w:rsidP="00AC32ED">
      <w:pPr>
        <w:spacing w:before="120"/>
        <w:ind w:left="425" w:hanging="425"/>
        <w:jc w:val="center"/>
        <w:rPr>
          <w:b/>
        </w:rPr>
      </w:pPr>
      <w:r w:rsidRPr="0051516C">
        <w:rPr>
          <w:b/>
        </w:rPr>
        <w:t xml:space="preserve">2. Pakalpojumu </w:t>
      </w:r>
      <w:r>
        <w:rPr>
          <w:b/>
        </w:rPr>
        <w:t>saturs</w:t>
      </w:r>
    </w:p>
    <w:p w:rsidR="00AC32ED" w:rsidRDefault="00AC32ED" w:rsidP="00AC32ED">
      <w:pPr>
        <w:pStyle w:val="BodyTextIndent2"/>
        <w:spacing w:after="0" w:line="240" w:lineRule="auto"/>
        <w:ind w:left="0" w:firstLine="567"/>
        <w:jc w:val="both"/>
      </w:pPr>
      <w:r>
        <w:t xml:space="preserve">2.1. </w:t>
      </w:r>
      <w:r w:rsidRPr="00634C3A">
        <w:rPr>
          <w:u w:val="single"/>
        </w:rPr>
        <w:t xml:space="preserve">Pakalpojumi </w:t>
      </w:r>
      <w:r>
        <w:rPr>
          <w:u w:val="single"/>
        </w:rPr>
        <w:t xml:space="preserve">sevī </w:t>
      </w:r>
      <w:r w:rsidRPr="00634C3A">
        <w:rPr>
          <w:u w:val="single"/>
        </w:rPr>
        <w:t>ietver</w:t>
      </w:r>
      <w:r>
        <w:t>:</w:t>
      </w:r>
    </w:p>
    <w:p w:rsidR="00AC32ED" w:rsidRPr="00E50934" w:rsidRDefault="00AC32ED" w:rsidP="00AC32ED">
      <w:pPr>
        <w:pStyle w:val="BodyTextIndent2"/>
        <w:spacing w:after="0" w:line="240" w:lineRule="auto"/>
        <w:ind w:left="0" w:firstLine="993"/>
        <w:jc w:val="both"/>
      </w:pPr>
      <w:r>
        <w:t>2.1.1. Programmu darbību tieši regulējošo Latvijas valsts normatīvo aktu prasību nodrošināšanu, kas nozīmē, ka tiek nodrošinātas Latvijas valsts likumu un Latvijas Republikas Ministru kabineta (MK) noteikumu prasības, bet netiek nodrošinātas pašvaldības saistošo noteikumu prasības;</w:t>
      </w:r>
    </w:p>
    <w:p w:rsidR="00AC32ED" w:rsidRPr="007D6011" w:rsidRDefault="00AC32ED" w:rsidP="00AC32ED">
      <w:pPr>
        <w:pStyle w:val="BodyTextIndent"/>
        <w:tabs>
          <w:tab w:val="left" w:pos="-426"/>
        </w:tabs>
        <w:ind w:firstLine="993"/>
        <w:rPr>
          <w:sz w:val="24"/>
        </w:rPr>
      </w:pPr>
      <w:r>
        <w:rPr>
          <w:sz w:val="24"/>
        </w:rPr>
        <w:t>2</w:t>
      </w:r>
      <w:r w:rsidRPr="007D6011">
        <w:rPr>
          <w:sz w:val="24"/>
        </w:rPr>
        <w:t>.</w:t>
      </w:r>
      <w:r>
        <w:rPr>
          <w:sz w:val="24"/>
        </w:rPr>
        <w:t>1.</w:t>
      </w:r>
      <w:r w:rsidRPr="007D6011">
        <w:rPr>
          <w:sz w:val="24"/>
        </w:rPr>
        <w:t>2.</w:t>
      </w:r>
      <w:r>
        <w:rPr>
          <w:sz w:val="24"/>
        </w:rPr>
        <w:t xml:space="preserve"> P</w:t>
      </w:r>
      <w:r w:rsidRPr="007D6011">
        <w:rPr>
          <w:sz w:val="24"/>
        </w:rPr>
        <w:t>rogrammu jaunu versiju un lietotāju instrukciju, ja tādas ir izstrādātas un pēc tādām ir nepieciešamība, nosūtīšanu P</w:t>
      </w:r>
      <w:r>
        <w:rPr>
          <w:sz w:val="24"/>
        </w:rPr>
        <w:t xml:space="preserve">akalpojuma saņēmējam </w:t>
      </w:r>
      <w:r w:rsidRPr="007D6011">
        <w:rPr>
          <w:sz w:val="24"/>
        </w:rPr>
        <w:t>pēc tā pieprasījuma vai automātiski, izmantojot interneta tīklu</w:t>
      </w:r>
      <w:r>
        <w:rPr>
          <w:sz w:val="24"/>
        </w:rPr>
        <w:t>.</w:t>
      </w:r>
      <w:r w:rsidRPr="007D6011">
        <w:rPr>
          <w:sz w:val="24"/>
        </w:rPr>
        <w:t xml:space="preserve"> </w:t>
      </w:r>
      <w:r>
        <w:rPr>
          <w:sz w:val="24"/>
        </w:rPr>
        <w:t>P</w:t>
      </w:r>
      <w:r w:rsidRPr="007D6011">
        <w:rPr>
          <w:sz w:val="24"/>
        </w:rPr>
        <w:t xml:space="preserve">rogrammu sākotnējās instalācijas ir pieejamas </w:t>
      </w:r>
      <w:hyperlink r:id="rId7" w:history="1">
        <w:r w:rsidR="00786531" w:rsidRPr="00F8055D">
          <w:rPr>
            <w:rStyle w:val="Hyperlink"/>
            <w:sz w:val="24"/>
          </w:rPr>
          <w:t>http://www.zzdats.lv</w:t>
        </w:r>
      </w:hyperlink>
      <w:r>
        <w:rPr>
          <w:sz w:val="24"/>
        </w:rPr>
        <w:t>;</w:t>
      </w:r>
    </w:p>
    <w:p w:rsidR="00AC32ED" w:rsidRPr="00E83476" w:rsidRDefault="00AC32ED" w:rsidP="00AC32ED">
      <w:pPr>
        <w:pStyle w:val="BodyTextIndent"/>
        <w:ind w:firstLine="993"/>
        <w:rPr>
          <w:sz w:val="24"/>
        </w:rPr>
      </w:pPr>
      <w:r>
        <w:rPr>
          <w:sz w:val="24"/>
        </w:rPr>
        <w:t>2.1</w:t>
      </w:r>
      <w:r w:rsidRPr="00E83476">
        <w:rPr>
          <w:sz w:val="24"/>
        </w:rPr>
        <w:t>.3.</w:t>
      </w:r>
      <w:r>
        <w:rPr>
          <w:sz w:val="24"/>
        </w:rPr>
        <w:t xml:space="preserve"> </w:t>
      </w:r>
      <w:r w:rsidRPr="00E83476">
        <w:rPr>
          <w:sz w:val="24"/>
        </w:rPr>
        <w:t xml:space="preserve">telefoniskas vai e-pasta konsultācijas par </w:t>
      </w:r>
      <w:r>
        <w:rPr>
          <w:sz w:val="24"/>
        </w:rPr>
        <w:t>P</w:t>
      </w:r>
      <w:r w:rsidRPr="00E83476">
        <w:rPr>
          <w:sz w:val="24"/>
        </w:rPr>
        <w:t>rogrammu lietošanu un uzstādīšanu k</w:t>
      </w:r>
      <w:r>
        <w:rPr>
          <w:sz w:val="24"/>
        </w:rPr>
        <w:t>atru</w:t>
      </w:r>
      <w:r w:rsidRPr="00E83476">
        <w:rPr>
          <w:sz w:val="24"/>
        </w:rPr>
        <w:t xml:space="preserve"> darba dienu no pl</w:t>
      </w:r>
      <w:r>
        <w:rPr>
          <w:sz w:val="24"/>
        </w:rPr>
        <w:t>kst</w:t>
      </w:r>
      <w:r w:rsidRPr="00E83476">
        <w:rPr>
          <w:sz w:val="24"/>
        </w:rPr>
        <w:t>.9</w:t>
      </w:r>
      <w:r>
        <w:rPr>
          <w:sz w:val="24"/>
        </w:rPr>
        <w:t>-</w:t>
      </w:r>
      <w:r w:rsidRPr="00E83476">
        <w:rPr>
          <w:sz w:val="24"/>
        </w:rPr>
        <w:t xml:space="preserve">00 līdz </w:t>
      </w:r>
      <w:r>
        <w:rPr>
          <w:sz w:val="24"/>
        </w:rPr>
        <w:t>plkst.</w:t>
      </w:r>
      <w:r w:rsidRPr="00E83476">
        <w:rPr>
          <w:sz w:val="24"/>
        </w:rPr>
        <w:t>17</w:t>
      </w:r>
      <w:r>
        <w:rPr>
          <w:sz w:val="24"/>
        </w:rPr>
        <w:t>-</w:t>
      </w:r>
      <w:r w:rsidRPr="00E83476">
        <w:rPr>
          <w:sz w:val="24"/>
        </w:rPr>
        <w:t>00 pa tālruni, vai e-pastu</w:t>
      </w:r>
      <w:hyperlink r:id="rId8" w:history="1"/>
      <w:r w:rsidRPr="00E83476">
        <w:rPr>
          <w:sz w:val="24"/>
        </w:rPr>
        <w:t>;</w:t>
      </w:r>
    </w:p>
    <w:p w:rsidR="00AC32ED" w:rsidRDefault="00AC32ED" w:rsidP="00AC32ED">
      <w:pPr>
        <w:pStyle w:val="BodyTextIndent2"/>
        <w:spacing w:after="0" w:line="240" w:lineRule="auto"/>
        <w:ind w:left="0" w:firstLine="993"/>
        <w:jc w:val="both"/>
      </w:pPr>
      <w:r>
        <w:t xml:space="preserve">2.1.4. </w:t>
      </w:r>
      <w:r w:rsidRPr="00E50934">
        <w:t xml:space="preserve">konsultācijas par </w:t>
      </w:r>
      <w:r>
        <w:t>P</w:t>
      </w:r>
      <w:r w:rsidRPr="00E50934">
        <w:t>rogrammu lietošanu P</w:t>
      </w:r>
      <w:r>
        <w:t>akalpojuma sniedzēja</w:t>
      </w:r>
      <w:r w:rsidRPr="00E50934">
        <w:t xml:space="preserve"> telpās, iepriekš vienojoties par laiku</w:t>
      </w:r>
      <w:r>
        <w:t xml:space="preserve">; </w:t>
      </w:r>
    </w:p>
    <w:p w:rsidR="00AC32ED" w:rsidRDefault="00AC32ED" w:rsidP="00AC32ED">
      <w:pPr>
        <w:pStyle w:val="BodyTextIndent2"/>
        <w:spacing w:after="0" w:line="240" w:lineRule="auto"/>
        <w:ind w:left="0" w:firstLine="993"/>
        <w:jc w:val="both"/>
      </w:pPr>
      <w:r>
        <w:t>2.1.5. Programmu lietotāju un to tiesību administrēšanu, ja tas nepieciešams, nosūtot Pakalpojuma saņēmējam parakstītu un ieskenētu iesniegumu uz e-pasta adresi;</w:t>
      </w:r>
    </w:p>
    <w:p w:rsidR="00AC32ED" w:rsidRDefault="00AC32ED" w:rsidP="00AC32ED">
      <w:pPr>
        <w:pStyle w:val="BodyTextIndent2"/>
        <w:spacing w:after="0" w:line="240" w:lineRule="auto"/>
        <w:ind w:left="0" w:firstLine="993"/>
        <w:jc w:val="both"/>
      </w:pPr>
      <w:r>
        <w:t>2.1.6. Pakalpojuma saņēmēja datu bāzu integritātes nodrošināšanu, datu bāzu versiju savietojamību, bet neiekļauj Pakalpojuma saņēmēja Programmu lietotāju ievadīto datu satura pareizības un aktualizācijas nodrošināšanu;</w:t>
      </w:r>
    </w:p>
    <w:p w:rsidR="00AC32ED" w:rsidRDefault="00AC32ED" w:rsidP="00AC32ED">
      <w:pPr>
        <w:pStyle w:val="BodyTextIndent2"/>
        <w:spacing w:after="0" w:line="240" w:lineRule="auto"/>
        <w:ind w:left="0" w:firstLine="993"/>
        <w:jc w:val="both"/>
      </w:pPr>
      <w:r>
        <w:t>2.1.7. Pakalpojuma saņēmēja datu bāzu izmitināšanu uz Pakalpojuma sniedzēja servera, ja Pakalpojuma saņēmējam izmitināšana ir nepieciešama;</w:t>
      </w:r>
    </w:p>
    <w:p w:rsidR="00AC32ED" w:rsidRPr="00E50934" w:rsidRDefault="00AC32ED" w:rsidP="00AC32ED">
      <w:pPr>
        <w:pStyle w:val="BodyTextIndent2"/>
        <w:spacing w:after="0" w:line="240" w:lineRule="auto"/>
        <w:ind w:left="0" w:firstLine="993"/>
        <w:jc w:val="both"/>
      </w:pPr>
      <w:r>
        <w:t>2.1.8. Pakalpojuma saņēmējam piekļuvi Pakalpojuma saņēmēja datiem vismaz 98% (deviņdesmit astoņi procenti) apmērā laika posmā no 2018.gada 1.janvāra līdz 2020.gada 31.decembrim, ja Pakalpojuma sniedzējs veic datu bāzu izmitināšanu pie Pakalpojuma sniedzēja;</w:t>
      </w:r>
    </w:p>
    <w:p w:rsidR="00AC32ED" w:rsidRPr="00135FE9" w:rsidRDefault="00AC32ED" w:rsidP="00AC32ED">
      <w:pPr>
        <w:pStyle w:val="BodyTextIndent3"/>
        <w:ind w:left="0" w:firstLine="993"/>
        <w:jc w:val="both"/>
        <w:rPr>
          <w:sz w:val="24"/>
        </w:rPr>
      </w:pPr>
      <w:r>
        <w:rPr>
          <w:sz w:val="24"/>
        </w:rPr>
        <w:lastRenderedPageBreak/>
        <w:t>2.1</w:t>
      </w:r>
      <w:r w:rsidRPr="00135FE9">
        <w:rPr>
          <w:sz w:val="24"/>
        </w:rPr>
        <w:t>.9.</w:t>
      </w:r>
      <w:r>
        <w:rPr>
          <w:sz w:val="24"/>
        </w:rPr>
        <w:t xml:space="preserve"> </w:t>
      </w:r>
      <w:r w:rsidRPr="00135FE9">
        <w:rPr>
          <w:sz w:val="24"/>
        </w:rPr>
        <w:t>elektroniskā pakalpojuma „nekustamā īpašuma nodoklis” vai citu P</w:t>
      </w:r>
      <w:r>
        <w:rPr>
          <w:sz w:val="24"/>
        </w:rPr>
        <w:t>akalpojuma sniedzēja</w:t>
      </w:r>
      <w:r w:rsidRPr="00135FE9">
        <w:rPr>
          <w:sz w:val="24"/>
        </w:rPr>
        <w:t xml:space="preserve"> elektronisko pakalpojumu portālā </w:t>
      </w:r>
      <w:hyperlink r:id="rId9" w:history="1">
        <w:r w:rsidRPr="006119ED">
          <w:rPr>
            <w:rStyle w:val="Hyperlink"/>
            <w:sz w:val="24"/>
          </w:rPr>
          <w:t>www.epakalpojumi.lv</w:t>
        </w:r>
      </w:hyperlink>
      <w:r w:rsidRPr="00135FE9">
        <w:rPr>
          <w:sz w:val="24"/>
        </w:rPr>
        <w:t xml:space="preserve"> darbības nodrošināšanu</w:t>
      </w:r>
      <w:r>
        <w:rPr>
          <w:sz w:val="24"/>
        </w:rPr>
        <w:t xml:space="preserve"> pēc Pakalpojuma saņēmēja pieprasījuma</w:t>
      </w:r>
      <w:r w:rsidRPr="00135FE9">
        <w:rPr>
          <w:sz w:val="24"/>
        </w:rPr>
        <w:t>;</w:t>
      </w:r>
    </w:p>
    <w:p w:rsidR="00AC32ED" w:rsidRPr="00135FE9" w:rsidRDefault="00AC32ED" w:rsidP="00AC32ED">
      <w:pPr>
        <w:pStyle w:val="BodyTextIndent3"/>
        <w:ind w:left="0" w:firstLine="993"/>
        <w:jc w:val="both"/>
        <w:rPr>
          <w:sz w:val="24"/>
        </w:rPr>
      </w:pPr>
      <w:r>
        <w:rPr>
          <w:sz w:val="24"/>
        </w:rPr>
        <w:t>2.1</w:t>
      </w:r>
      <w:r w:rsidRPr="00135FE9">
        <w:rPr>
          <w:sz w:val="24"/>
        </w:rPr>
        <w:t>.10.</w:t>
      </w:r>
      <w:r>
        <w:rPr>
          <w:sz w:val="24"/>
        </w:rPr>
        <w:t xml:space="preserve"> </w:t>
      </w:r>
      <w:r w:rsidRPr="00135FE9">
        <w:rPr>
          <w:sz w:val="24"/>
        </w:rPr>
        <w:t xml:space="preserve">piekļuvi citu pašvaldību datiem </w:t>
      </w:r>
      <w:r>
        <w:rPr>
          <w:sz w:val="24"/>
        </w:rPr>
        <w:t>L</w:t>
      </w:r>
      <w:r w:rsidRPr="00135FE9">
        <w:rPr>
          <w:sz w:val="24"/>
        </w:rPr>
        <w:t xml:space="preserve">īguma </w:t>
      </w:r>
      <w:r>
        <w:rPr>
          <w:sz w:val="24"/>
        </w:rPr>
        <w:t>4.2.</w:t>
      </w:r>
      <w:r w:rsidRPr="00135FE9">
        <w:rPr>
          <w:sz w:val="24"/>
        </w:rPr>
        <w:t>.punktā uzrādītajā apjomā, ja cita pašvaldība ar P</w:t>
      </w:r>
      <w:r>
        <w:rPr>
          <w:sz w:val="24"/>
        </w:rPr>
        <w:t>akalpojuma sniedzēju</w:t>
      </w:r>
      <w:r w:rsidRPr="00135FE9">
        <w:rPr>
          <w:sz w:val="24"/>
        </w:rPr>
        <w:t xml:space="preserve"> ir noslēgusi a</w:t>
      </w:r>
      <w:r>
        <w:rPr>
          <w:sz w:val="24"/>
        </w:rPr>
        <w:t>tsevišķ</w:t>
      </w:r>
      <w:r w:rsidRPr="00135FE9">
        <w:rPr>
          <w:sz w:val="24"/>
        </w:rPr>
        <w:t>u līgumu;</w:t>
      </w:r>
    </w:p>
    <w:p w:rsidR="00AC32ED" w:rsidRDefault="00AC32ED" w:rsidP="00397323">
      <w:pPr>
        <w:suppressAutoHyphens w:val="0"/>
        <w:ind w:firstLine="992"/>
        <w:jc w:val="both"/>
      </w:pPr>
      <w:r>
        <w:t>2.1</w:t>
      </w:r>
      <w:r w:rsidRPr="00135FE9">
        <w:t>.11.</w:t>
      </w:r>
      <w:r>
        <w:t xml:space="preserve"> </w:t>
      </w:r>
      <w:r w:rsidRPr="00135FE9">
        <w:t xml:space="preserve">datu apmaiņas nodrošināšanu ar </w:t>
      </w:r>
      <w:r w:rsidRPr="00BC7216">
        <w:t>V</w:t>
      </w:r>
      <w:r>
        <w:t xml:space="preserve">alsts zemes dienesta (VZD) </w:t>
      </w:r>
      <w:r w:rsidRPr="00BC7216">
        <w:t xml:space="preserve">Kadastra un Adrešu reģistriem, Zemesgrāmatu, </w:t>
      </w:r>
      <w:r w:rsidRPr="00975F68">
        <w:t>Pilsonības un migrācijas lietu pārvalde</w:t>
      </w:r>
      <w:r>
        <w:t>s</w:t>
      </w:r>
      <w:r w:rsidRPr="00975F68">
        <w:t xml:space="preserve"> </w:t>
      </w:r>
      <w:r>
        <w:t xml:space="preserve">(PMLP) </w:t>
      </w:r>
      <w:r w:rsidRPr="00BC7216">
        <w:t xml:space="preserve">Iedzīvotāju reģistru un civilstāvokļu aktu reģistru, </w:t>
      </w:r>
      <w:r>
        <w:t xml:space="preserve">Valsts ieņēmumu dienestu (VID), </w:t>
      </w:r>
      <w:r w:rsidRPr="00975F68">
        <w:t>Valsts sociālās apdrošināšanas aģentūr</w:t>
      </w:r>
      <w:r>
        <w:t>u</w:t>
      </w:r>
      <w:r w:rsidRPr="00975F68">
        <w:t xml:space="preserve"> </w:t>
      </w:r>
      <w:r>
        <w:t>(</w:t>
      </w:r>
      <w:r w:rsidRPr="00BC7216">
        <w:t>VSAA</w:t>
      </w:r>
      <w:r>
        <w:t>)</w:t>
      </w:r>
      <w:r w:rsidRPr="00BC7216">
        <w:t xml:space="preserve">, </w:t>
      </w:r>
      <w:r w:rsidRPr="00975F68">
        <w:t>Ceļu satiksmes drošības direkcij</w:t>
      </w:r>
      <w:r>
        <w:t>u (</w:t>
      </w:r>
      <w:r w:rsidRPr="00BC7216">
        <w:t>CSDD</w:t>
      </w:r>
      <w:r>
        <w:t>)</w:t>
      </w:r>
      <w:r w:rsidRPr="00BC7216">
        <w:t xml:space="preserve">, </w:t>
      </w:r>
      <w:r>
        <w:t>Nodarbinātības valsts aģentūru (</w:t>
      </w:r>
      <w:r w:rsidRPr="00BC7216">
        <w:t>NVA</w:t>
      </w:r>
      <w:r>
        <w:t>)</w:t>
      </w:r>
      <w:r w:rsidRPr="00BC7216">
        <w:t xml:space="preserve">, </w:t>
      </w:r>
      <w:r w:rsidRPr="00B03833">
        <w:t>Uzturlīdzekļu garantiju fond</w:t>
      </w:r>
      <w:r>
        <w:t>u</w:t>
      </w:r>
      <w:r w:rsidRPr="00B03833">
        <w:t xml:space="preserve"> </w:t>
      </w:r>
      <w:r>
        <w:t>(</w:t>
      </w:r>
      <w:r w:rsidRPr="00BC7216">
        <w:t>UGF</w:t>
      </w:r>
      <w:r>
        <w:t>)</w:t>
      </w:r>
      <w:r w:rsidRPr="00BC7216">
        <w:t xml:space="preserve">, </w:t>
      </w:r>
      <w:r>
        <w:t>Uzņēmumu reģistru (UR), Lauku atbalsta dienestu (LAD), Nepilngadīgo personu atbalsta informācijas sistēmu (NPAIS), Juridiskās palīdzības administrāciju (JPA), Centrālo statistikas pārvaldi (CSP), Valsts izglītības informācijas sistēmu (VIIS), Valsts tehniskās uzraudzības administrāciju (VTUA), komerc</w:t>
      </w:r>
      <w:r w:rsidRPr="00BC7216">
        <w:t>bankām</w:t>
      </w:r>
      <w:r>
        <w:t xml:space="preserve"> un Valsts kasi</w:t>
      </w:r>
      <w:r w:rsidRPr="00BC7216">
        <w:t xml:space="preserve">, ja </w:t>
      </w:r>
      <w:r w:rsidRPr="00135FE9">
        <w:t>P</w:t>
      </w:r>
      <w:r>
        <w:t xml:space="preserve">akalpojuma saņēmējs </w:t>
      </w:r>
      <w:r w:rsidRPr="00BC7216">
        <w:t>ir noslēdzis līgumu ar attiecīgu iestādi un ja šāds līgums ir nepieciešams</w:t>
      </w:r>
      <w:r>
        <w:t xml:space="preserve">. </w:t>
      </w:r>
    </w:p>
    <w:p w:rsidR="00AC32ED" w:rsidRPr="00135FE9" w:rsidRDefault="00AC32ED" w:rsidP="00AC32ED">
      <w:pPr>
        <w:suppressAutoHyphens w:val="0"/>
        <w:spacing w:before="120"/>
        <w:ind w:left="709" w:hanging="284"/>
        <w:jc w:val="center"/>
        <w:rPr>
          <w:b/>
        </w:rPr>
      </w:pPr>
      <w:r>
        <w:rPr>
          <w:b/>
        </w:rPr>
        <w:t>3</w:t>
      </w:r>
      <w:r w:rsidRPr="00135FE9">
        <w:rPr>
          <w:b/>
        </w:rPr>
        <w:t>. Pakalpojuma sniedzēja pienākumi</w:t>
      </w:r>
    </w:p>
    <w:p w:rsidR="00AC32ED" w:rsidRPr="00E50934" w:rsidRDefault="00AC32ED" w:rsidP="00AC32ED">
      <w:pPr>
        <w:tabs>
          <w:tab w:val="left" w:pos="426"/>
        </w:tabs>
        <w:ind w:firstLine="567"/>
        <w:jc w:val="both"/>
      </w:pPr>
      <w:r>
        <w:t xml:space="preserve">3.1. </w:t>
      </w:r>
      <w:r w:rsidRPr="006C5BB3">
        <w:rPr>
          <w:u w:val="single"/>
        </w:rPr>
        <w:t>Pakalpojuma sniedzējs nodrošina</w:t>
      </w:r>
      <w:r w:rsidRPr="00E50934">
        <w:t>:</w:t>
      </w:r>
    </w:p>
    <w:p w:rsidR="00AC32ED" w:rsidRPr="00E50934" w:rsidRDefault="00AC32ED" w:rsidP="00AC32ED">
      <w:pPr>
        <w:ind w:firstLine="993"/>
        <w:jc w:val="both"/>
      </w:pPr>
      <w:r>
        <w:t xml:space="preserve">3.1.1. </w:t>
      </w:r>
      <w:r w:rsidRPr="00E50934">
        <w:t>P</w:t>
      </w:r>
      <w:r>
        <w:t>akalpojuma saņēmēja</w:t>
      </w:r>
      <w:r w:rsidRPr="00E50934">
        <w:t xml:space="preserve"> datu drošību, kas nozīmē nesankcionētas datu piekļuves vai izmantošanas aizliegšanu, kā arī mehānisku datu zudumu nepieļaušanu gadījumā, ja P</w:t>
      </w:r>
      <w:r>
        <w:t>akalpojuma sniedzējs</w:t>
      </w:r>
      <w:r w:rsidRPr="00E50934">
        <w:t xml:space="preserve"> veic datu bāz</w:t>
      </w:r>
      <w:r>
        <w:t>u</w:t>
      </w:r>
      <w:r w:rsidRPr="00E50934">
        <w:t xml:space="preserve"> izmitināšanu;</w:t>
      </w:r>
    </w:p>
    <w:p w:rsidR="00AC32ED" w:rsidRPr="00E50934" w:rsidRDefault="00AC32ED" w:rsidP="00AC32ED">
      <w:pPr>
        <w:ind w:firstLine="993"/>
        <w:jc w:val="both"/>
      </w:pPr>
      <w:r>
        <w:t xml:space="preserve">3.1.2. </w:t>
      </w:r>
      <w:r w:rsidRPr="00E50934">
        <w:t xml:space="preserve">Fizisku personu datu aizsardzības likuma </w:t>
      </w:r>
      <w:r>
        <w:t xml:space="preserve">un citu saistošo normatīvo aktu </w:t>
      </w:r>
      <w:r w:rsidRPr="00E50934">
        <w:t>prasību ievērošanu Līguma 2.</w:t>
      </w:r>
      <w:r>
        <w:t>1.</w:t>
      </w:r>
      <w:r w:rsidRPr="00E50934">
        <w:t>punktā minēto pakalpojumu sniegšanas ietvaros;</w:t>
      </w:r>
    </w:p>
    <w:p w:rsidR="00AC32ED" w:rsidRPr="00E50934" w:rsidRDefault="00AC32ED" w:rsidP="00AC32ED">
      <w:pPr>
        <w:ind w:firstLine="993"/>
        <w:jc w:val="both"/>
      </w:pPr>
      <w:r>
        <w:t xml:space="preserve">3.1.3. </w:t>
      </w:r>
      <w:r w:rsidRPr="00E50934">
        <w:t>P</w:t>
      </w:r>
      <w:r>
        <w:t xml:space="preserve">akalpojuma saņēmēja </w:t>
      </w:r>
      <w:r w:rsidRPr="00E50934">
        <w:t>konfidenciālas informācijas neizmantošanu savu vai trešo personu interesēs. Par konfidenciālu informāciju tiek uzskatīta tāda P</w:t>
      </w:r>
      <w:r>
        <w:t>akalpojuma saņēmēja</w:t>
      </w:r>
      <w:r w:rsidRPr="00E50934">
        <w:t xml:space="preserve"> informācija, kura nav publiski pieejama trešajām personām;</w:t>
      </w:r>
    </w:p>
    <w:p w:rsidR="00AC32ED" w:rsidRPr="00E50934" w:rsidRDefault="00AC32ED" w:rsidP="00AC32ED">
      <w:pPr>
        <w:ind w:firstLine="993"/>
        <w:jc w:val="both"/>
      </w:pPr>
      <w:r>
        <w:t xml:space="preserve">3.1.4. </w:t>
      </w:r>
      <w:r w:rsidRPr="00E50934">
        <w:t>nosacījumu izpildi, kuri ir noteikti P</w:t>
      </w:r>
      <w:r>
        <w:t>akalpojumu saņēmēja</w:t>
      </w:r>
      <w:r w:rsidRPr="00E50934">
        <w:t xml:space="preserve"> un Valsts </w:t>
      </w:r>
      <w:r>
        <w:t>z</w:t>
      </w:r>
      <w:r w:rsidRPr="00E50934">
        <w:t xml:space="preserve">emes </w:t>
      </w:r>
      <w:r>
        <w:t>d</w:t>
      </w:r>
      <w:r w:rsidRPr="00E50934">
        <w:t>ienesta sadarbības līgum</w:t>
      </w:r>
      <w:r>
        <w:t>ā</w:t>
      </w:r>
      <w:r w:rsidRPr="00E50934">
        <w:t xml:space="preserve"> par datu apmaiņu attiecībā uz </w:t>
      </w:r>
      <w:r>
        <w:t>t</w:t>
      </w:r>
      <w:r w:rsidRPr="00E50934">
        <w:t>ehnisko resursu uzturētāju;</w:t>
      </w:r>
    </w:p>
    <w:p w:rsidR="00AC32ED" w:rsidRDefault="00AC32ED" w:rsidP="00AC32ED">
      <w:pPr>
        <w:spacing w:after="120"/>
        <w:ind w:firstLine="993"/>
        <w:jc w:val="both"/>
      </w:pPr>
      <w:r>
        <w:t xml:space="preserve">3.1.5. </w:t>
      </w:r>
      <w:r w:rsidRPr="00E50934">
        <w:t>P</w:t>
      </w:r>
      <w:r>
        <w:t>akalpojuma saņēmēja</w:t>
      </w:r>
      <w:r w:rsidRPr="00E50934">
        <w:t xml:space="preserve"> lietotājiem piekļuvi </w:t>
      </w:r>
      <w:r>
        <w:t>P</w:t>
      </w:r>
      <w:r w:rsidRPr="00E50934">
        <w:t xml:space="preserve">rogrammām </w:t>
      </w:r>
      <w:r>
        <w:t>5</w:t>
      </w:r>
      <w:r w:rsidRPr="00E50934">
        <w:t xml:space="preserve"> </w:t>
      </w:r>
      <w:r>
        <w:t xml:space="preserve">(piecas) </w:t>
      </w:r>
      <w:r w:rsidRPr="00E50934">
        <w:t xml:space="preserve">dienas pēc Līguma darbības </w:t>
      </w:r>
      <w:r>
        <w:t>iz</w:t>
      </w:r>
      <w:r w:rsidRPr="00E50934">
        <w:t>beig</w:t>
      </w:r>
      <w:r>
        <w:t>šan</w:t>
      </w:r>
      <w:r w:rsidRPr="00E50934">
        <w:t>ā</w:t>
      </w:r>
      <w:r>
        <w:t>s</w:t>
      </w:r>
      <w:r w:rsidRPr="00E50934">
        <w:t xml:space="preserve">, ja </w:t>
      </w:r>
      <w:r>
        <w:t>Pakalpojuma saņēmējs nav veicis darbības, kas turpmāk būtu saistošas un attiektos uz Programmu uzturēšanas, tai skaitā, ja tas nepieciešams, ar šo Programmu saistīto datu bāzu izmitināšanas pakalpojumu sniegšanu.</w:t>
      </w:r>
    </w:p>
    <w:p w:rsidR="00AC32ED" w:rsidRPr="00D74266" w:rsidRDefault="00AC32ED" w:rsidP="00AC32ED">
      <w:pPr>
        <w:ind w:left="709" w:hanging="425"/>
        <w:jc w:val="center"/>
        <w:rPr>
          <w:b/>
        </w:rPr>
      </w:pPr>
      <w:r>
        <w:rPr>
          <w:b/>
        </w:rPr>
        <w:t>4</w:t>
      </w:r>
      <w:r w:rsidRPr="00D74266">
        <w:rPr>
          <w:b/>
        </w:rPr>
        <w:t>. Pakalpojuma saņēmēja pienākumi</w:t>
      </w:r>
    </w:p>
    <w:p w:rsidR="00AC32ED" w:rsidRPr="00E50934" w:rsidRDefault="00AC32ED" w:rsidP="00AC32ED">
      <w:pPr>
        <w:tabs>
          <w:tab w:val="left" w:pos="567"/>
        </w:tabs>
        <w:ind w:firstLine="567"/>
        <w:jc w:val="both"/>
      </w:pPr>
      <w:r>
        <w:t xml:space="preserve">4.1. </w:t>
      </w:r>
      <w:r w:rsidRPr="00DE3F5B">
        <w:rPr>
          <w:u w:val="single"/>
        </w:rPr>
        <w:t>Pakalpojuma saņēmējs nodrošina</w:t>
      </w:r>
      <w:r w:rsidRPr="00E50934">
        <w:t>:</w:t>
      </w:r>
    </w:p>
    <w:p w:rsidR="00AC32ED" w:rsidRPr="00E50934" w:rsidRDefault="00AC32ED" w:rsidP="00AC32ED">
      <w:pPr>
        <w:ind w:firstLine="993"/>
        <w:jc w:val="both"/>
      </w:pPr>
      <w:r>
        <w:t xml:space="preserve">4.1.1. </w:t>
      </w:r>
      <w:r w:rsidRPr="00E50934">
        <w:t>datu drošību, kas nozīmē nesankcionētas datu izmantošanas, kā arī mehānisku datu zudumu nepieļaušanu, ja P</w:t>
      </w:r>
      <w:r>
        <w:t>akalpojuma saņēmēja</w:t>
      </w:r>
      <w:r w:rsidRPr="00E50934">
        <w:t xml:space="preserve"> dati nav izmitināti uz P</w:t>
      </w:r>
      <w:r>
        <w:t>akalpojuma sniedzēja</w:t>
      </w:r>
      <w:r w:rsidRPr="00E50934">
        <w:t xml:space="preserve"> servera;</w:t>
      </w:r>
    </w:p>
    <w:p w:rsidR="00AC32ED" w:rsidRPr="00E50934" w:rsidRDefault="00AC32ED" w:rsidP="00AC32ED">
      <w:pPr>
        <w:ind w:firstLine="993"/>
        <w:jc w:val="both"/>
      </w:pPr>
      <w:r>
        <w:t>4.1.2. P</w:t>
      </w:r>
      <w:r w:rsidRPr="00E50934">
        <w:t>rogrammu darbināšanai un 2.</w:t>
      </w:r>
      <w:r>
        <w:t>1.</w:t>
      </w:r>
      <w:r w:rsidRPr="00E50934">
        <w:t xml:space="preserve">punktā minēto pakalpojumu saņemšanai nepieciešamās datortehnikas </w:t>
      </w:r>
      <w:r>
        <w:t xml:space="preserve">lietojumprogrammu, datortīklu un citas nepieciešamās tehniskās infrastruktūras </w:t>
      </w:r>
      <w:r w:rsidRPr="00E50934">
        <w:t xml:space="preserve">pareizu darbību </w:t>
      </w:r>
      <w:r>
        <w:t>un primāro tehnisko atbalstu, kā arī atbilstību VPS lietošanas noteikumiem;</w:t>
      </w:r>
    </w:p>
    <w:p w:rsidR="00AC32ED" w:rsidRPr="00E50934" w:rsidRDefault="00AC32ED" w:rsidP="00AC32ED">
      <w:pPr>
        <w:ind w:firstLine="993"/>
        <w:jc w:val="both"/>
      </w:pPr>
      <w:r>
        <w:t xml:space="preserve">4.1.3. </w:t>
      </w:r>
      <w:r w:rsidRPr="00E50934">
        <w:t xml:space="preserve">kompetentus </w:t>
      </w:r>
      <w:r>
        <w:t>P</w:t>
      </w:r>
      <w:r w:rsidRPr="00E50934">
        <w:t xml:space="preserve">rogrammu lietotājus, kuri nes atbildību par </w:t>
      </w:r>
      <w:r>
        <w:t>atbilstoš</w:t>
      </w:r>
      <w:r w:rsidRPr="00E50934">
        <w:t xml:space="preserve">u </w:t>
      </w:r>
      <w:r>
        <w:t>P</w:t>
      </w:r>
      <w:r w:rsidRPr="00E50934">
        <w:t>rogrammu lietošanu un datu bāzu satura aktualizēšanu</w:t>
      </w:r>
      <w:r>
        <w:t xml:space="preserve">, kā arī strādā saskaņā ar VPS lietošanas noteikumiem, kuri atrodami: </w:t>
      </w:r>
      <w:hyperlink r:id="rId10" w:history="1">
        <w:r w:rsidR="00786531" w:rsidRPr="00F8055D">
          <w:rPr>
            <w:rStyle w:val="Hyperlink"/>
          </w:rPr>
          <w:t>http://www.zzdats.lv</w:t>
        </w:r>
      </w:hyperlink>
      <w:r w:rsidRPr="00E50934">
        <w:t>;</w:t>
      </w:r>
    </w:p>
    <w:p w:rsidR="00AC32ED" w:rsidRPr="00E50934" w:rsidRDefault="00AC32ED" w:rsidP="00AC32ED">
      <w:pPr>
        <w:ind w:firstLine="993"/>
        <w:jc w:val="both"/>
      </w:pPr>
      <w:r>
        <w:t xml:space="preserve">4.1.4. </w:t>
      </w:r>
      <w:r w:rsidRPr="00E50934">
        <w:t>kompetentu</w:t>
      </w:r>
      <w:r>
        <w:t>s</w:t>
      </w:r>
      <w:r w:rsidRPr="00E50934">
        <w:t xml:space="preserve"> datorspeciālistu</w:t>
      </w:r>
      <w:r>
        <w:t>s</w:t>
      </w:r>
      <w:r w:rsidRPr="00E50934">
        <w:t xml:space="preserve"> Līguma 2.</w:t>
      </w:r>
      <w:r>
        <w:t>1.</w:t>
      </w:r>
      <w:r w:rsidRPr="00E50934">
        <w:t>punktā minēto pakalpojumu kvalitatīvai saņemšanai</w:t>
      </w:r>
      <w:r>
        <w:t xml:space="preserve">, kuri strādā saskaņā ar VPS lietošanas noteikumiem, kuri atrodami </w:t>
      </w:r>
      <w:hyperlink r:id="rId11" w:history="1">
        <w:r w:rsidR="00786531" w:rsidRPr="00F8055D">
          <w:rPr>
            <w:rStyle w:val="Hyperlink"/>
          </w:rPr>
          <w:t>http://www.zzdats.lv</w:t>
        </w:r>
      </w:hyperlink>
      <w:r>
        <w:t xml:space="preserve">. Pakalpojumu saņēmējs informē Pakalpojumu sniedzēju par kontaktpersonu, kurai Pakalpojuma sniedzējs nepieciešamības gadījumā </w:t>
      </w:r>
      <w:proofErr w:type="spellStart"/>
      <w:r>
        <w:t>nosūta</w:t>
      </w:r>
      <w:proofErr w:type="spellEnd"/>
      <w:r>
        <w:t xml:space="preserve"> informāciju par VPS izmaiņām</w:t>
      </w:r>
      <w:r w:rsidRPr="00E50934">
        <w:t>;</w:t>
      </w:r>
    </w:p>
    <w:p w:rsidR="00AC32ED" w:rsidRPr="00E50934" w:rsidRDefault="00AC32ED" w:rsidP="00AC32ED">
      <w:pPr>
        <w:ind w:firstLine="993"/>
        <w:jc w:val="both"/>
      </w:pPr>
      <w:r>
        <w:t xml:space="preserve">4.1.5. </w:t>
      </w:r>
      <w:r w:rsidRPr="00E50934">
        <w:t>datu bāz</w:t>
      </w:r>
      <w:r>
        <w:t>u</w:t>
      </w:r>
      <w:r w:rsidRPr="00E50934">
        <w:t xml:space="preserve"> pieejamību ne mazāku kā 98% </w:t>
      </w:r>
      <w:r>
        <w:t xml:space="preserve">(deviņdesmit astoņi procenti) apmērā </w:t>
      </w:r>
      <w:r w:rsidRPr="00E50934">
        <w:t xml:space="preserve">no </w:t>
      </w:r>
      <w:r>
        <w:t>2018.gada 1.janvāra līdz 202</w:t>
      </w:r>
      <w:r w:rsidR="00786531">
        <w:t>0</w:t>
      </w:r>
      <w:r>
        <w:t xml:space="preserve">.gada </w:t>
      </w:r>
      <w:r w:rsidR="00786531">
        <w:t>3</w:t>
      </w:r>
      <w:r>
        <w:t>1.</w:t>
      </w:r>
      <w:r w:rsidR="00786531">
        <w:t>decemb</w:t>
      </w:r>
      <w:r>
        <w:t xml:space="preserve">rim </w:t>
      </w:r>
      <w:r w:rsidRPr="00E50934">
        <w:t xml:space="preserve">elektronisko pakalpojumu portāla </w:t>
      </w:r>
      <w:hyperlink r:id="rId12" w:history="1">
        <w:r w:rsidRPr="004C19E4">
          <w:rPr>
            <w:rStyle w:val="Hyperlink"/>
          </w:rPr>
          <w:t>www.epakalpojumi.lv</w:t>
        </w:r>
      </w:hyperlink>
      <w:r w:rsidRPr="00E50934">
        <w:t xml:space="preserve"> darbības nodrošināšanas mērķiem, ja P</w:t>
      </w:r>
      <w:r>
        <w:t>akalpojuma saņēmēja</w:t>
      </w:r>
      <w:r w:rsidRPr="00E50934">
        <w:t xml:space="preserve"> dati nav izmitināti uz P</w:t>
      </w:r>
      <w:r>
        <w:t>akalpojuma sniedzēja</w:t>
      </w:r>
      <w:r w:rsidRPr="00E50934">
        <w:t xml:space="preserve"> servera;</w:t>
      </w:r>
    </w:p>
    <w:p w:rsidR="00AC32ED" w:rsidRPr="00E50934" w:rsidRDefault="00AC32ED" w:rsidP="00AC32ED">
      <w:pPr>
        <w:ind w:firstLine="993"/>
        <w:jc w:val="both"/>
      </w:pPr>
      <w:r>
        <w:rPr>
          <w:lang w:eastAsia="lv-LV"/>
        </w:rPr>
        <w:lastRenderedPageBreak/>
        <w:t xml:space="preserve">4.1.6. </w:t>
      </w:r>
      <w:r w:rsidRPr="00E50934">
        <w:rPr>
          <w:lang w:eastAsia="lv-LV"/>
        </w:rPr>
        <w:t>ja P</w:t>
      </w:r>
      <w:r>
        <w:rPr>
          <w:lang w:eastAsia="lv-LV"/>
        </w:rPr>
        <w:t>akalpojuma saņēmējs</w:t>
      </w:r>
      <w:r w:rsidRPr="00E50934">
        <w:rPr>
          <w:lang w:eastAsia="lv-LV"/>
        </w:rPr>
        <w:t xml:space="preserve"> izmanto P</w:t>
      </w:r>
      <w:r>
        <w:rPr>
          <w:lang w:eastAsia="lv-LV"/>
        </w:rPr>
        <w:t xml:space="preserve">akalpojuma sniedzēja </w:t>
      </w:r>
      <w:r w:rsidRPr="00E50934">
        <w:rPr>
          <w:lang w:eastAsia="lv-LV"/>
        </w:rPr>
        <w:t>serveru resursus, tad P</w:t>
      </w:r>
      <w:r>
        <w:rPr>
          <w:lang w:eastAsia="lv-LV"/>
        </w:rPr>
        <w:t>akalpojuma saņēmējs</w:t>
      </w:r>
      <w:r w:rsidRPr="00E50934">
        <w:rPr>
          <w:lang w:eastAsia="lv-LV"/>
        </w:rPr>
        <w:t xml:space="preserve"> nodrošina, ka šie serveru resursi tiek izmantoti tikai pašvaldības funkciju veikšanai </w:t>
      </w:r>
      <w:r>
        <w:rPr>
          <w:lang w:eastAsia="lv-LV"/>
        </w:rPr>
        <w:t>un/</w:t>
      </w:r>
      <w:r w:rsidRPr="00E50934">
        <w:rPr>
          <w:lang w:eastAsia="lv-LV"/>
        </w:rPr>
        <w:t xml:space="preserve">vai citiem ar </w:t>
      </w:r>
      <w:r>
        <w:rPr>
          <w:lang w:eastAsia="lv-LV"/>
        </w:rPr>
        <w:t>P</w:t>
      </w:r>
      <w:r w:rsidRPr="00E50934">
        <w:rPr>
          <w:lang w:eastAsia="lv-LV"/>
        </w:rPr>
        <w:t>rogrammu lietošanu saistītiem mērķiem;</w:t>
      </w:r>
    </w:p>
    <w:p w:rsidR="00AC32ED" w:rsidRPr="00E50934" w:rsidRDefault="00AC32ED" w:rsidP="00AC32ED">
      <w:pPr>
        <w:ind w:firstLine="993"/>
        <w:jc w:val="both"/>
      </w:pPr>
      <w:r>
        <w:t xml:space="preserve">4.1.7. </w:t>
      </w:r>
      <w:r w:rsidRPr="00E50934">
        <w:t>P</w:t>
      </w:r>
      <w:r>
        <w:t>akalpojuma saņēmējs</w:t>
      </w:r>
      <w:r w:rsidRPr="00E50934">
        <w:t xml:space="preserve"> atļauj un, ja P</w:t>
      </w:r>
      <w:r>
        <w:t>akalpojuma saņēmēja</w:t>
      </w:r>
      <w:r w:rsidRPr="00E50934">
        <w:t xml:space="preserve"> dati nav izmitināti uz P</w:t>
      </w:r>
      <w:r>
        <w:t>akalpojuma sniedzēja</w:t>
      </w:r>
      <w:r w:rsidRPr="00E50934">
        <w:t xml:space="preserve"> servera, nodrošina P</w:t>
      </w:r>
      <w:r>
        <w:t xml:space="preserve">akalpojuma sniedzējam </w:t>
      </w:r>
      <w:r w:rsidRPr="00E50934">
        <w:t>piekļuvi sav</w:t>
      </w:r>
      <w:r>
        <w:t>ām</w:t>
      </w:r>
      <w:r w:rsidRPr="00E50934">
        <w:t xml:space="preserve"> datu bāz</w:t>
      </w:r>
      <w:r>
        <w:t>ēm</w:t>
      </w:r>
      <w:r w:rsidRPr="00E50934">
        <w:t xml:space="preserve"> un t</w:t>
      </w:r>
      <w:r>
        <w:t>o</w:t>
      </w:r>
      <w:r w:rsidRPr="00E50934">
        <w:t xml:space="preserve"> saturam Līguma 2.</w:t>
      </w:r>
      <w:r>
        <w:t>1.</w:t>
      </w:r>
      <w:r w:rsidRPr="00E50934">
        <w:t>punktā minēto pakalpojumu sniegšanas mērķiem, ievērojot Līguma 3.</w:t>
      </w:r>
      <w:r>
        <w:t>1.</w:t>
      </w:r>
      <w:r w:rsidRPr="00E50934">
        <w:t>punkta nosacījumus;</w:t>
      </w:r>
    </w:p>
    <w:p w:rsidR="00AC32ED" w:rsidRPr="00E50934" w:rsidRDefault="00AC32ED" w:rsidP="00AC32ED">
      <w:pPr>
        <w:ind w:firstLine="993"/>
        <w:jc w:val="both"/>
      </w:pPr>
      <w:r>
        <w:t xml:space="preserve">4.1.8. </w:t>
      </w:r>
      <w:r w:rsidRPr="00E50934">
        <w:t>P</w:t>
      </w:r>
      <w:r>
        <w:t xml:space="preserve">akalpojuma sniedzēja </w:t>
      </w:r>
      <w:r w:rsidRPr="00E50934">
        <w:t>konfidenciālas informācijas nesniegšanu trešajām p</w:t>
      </w:r>
      <w:r>
        <w:t>er</w:t>
      </w:r>
      <w:r w:rsidRPr="00E50934">
        <w:t>s</w:t>
      </w:r>
      <w:r>
        <w:t>onā</w:t>
      </w:r>
      <w:r w:rsidRPr="00E50934">
        <w:t>m. Par konfidenciālu informāciju tiek uzskatīta tāda P</w:t>
      </w:r>
      <w:r>
        <w:t xml:space="preserve">akalpojuma sniedzēja </w:t>
      </w:r>
      <w:r w:rsidRPr="00E50934">
        <w:t>informācija, kura nav publiski pieejama trešajām p</w:t>
      </w:r>
      <w:r>
        <w:t>er</w:t>
      </w:r>
      <w:r w:rsidRPr="00E50934">
        <w:t>s</w:t>
      </w:r>
      <w:r>
        <w:t>onā</w:t>
      </w:r>
      <w:r w:rsidRPr="00E50934">
        <w:t xml:space="preserve">m, tajā skaitā, jebkāda ar </w:t>
      </w:r>
      <w:r>
        <w:t>P</w:t>
      </w:r>
      <w:r w:rsidRPr="00E50934">
        <w:t>rogrammām, datu bāzēm vai to struktūrām saistīta informācija vai dokumentācija</w:t>
      </w:r>
      <w:r>
        <w:t>.</w:t>
      </w:r>
    </w:p>
    <w:p w:rsidR="00AC32ED" w:rsidRDefault="00AC32ED" w:rsidP="00AC32ED">
      <w:pPr>
        <w:tabs>
          <w:tab w:val="left" w:pos="-1134"/>
        </w:tabs>
        <w:ind w:firstLine="567"/>
        <w:jc w:val="both"/>
      </w:pPr>
      <w:r>
        <w:t xml:space="preserve">4.2. </w:t>
      </w:r>
      <w:r w:rsidRPr="00E50934">
        <w:t>P</w:t>
      </w:r>
      <w:r>
        <w:t xml:space="preserve">akalpojuma saņēmējs </w:t>
      </w:r>
      <w:r w:rsidRPr="00E50934">
        <w:t>neiebilst pret savas datu bāzes informācijas sniegšanu, kuru nodrošina P</w:t>
      </w:r>
      <w:r>
        <w:t xml:space="preserve">akalpojuma sniedzēja </w:t>
      </w:r>
      <w:r w:rsidRPr="00E50934">
        <w:t>programmatūra, citām pašvaldībām un valsts iestādēm to pamatfunkciju veikšanas mērķiem, tajā skaitā: dzīvesvietas deklarēšanas datus un to vēsturi; dzimtsarakstu datus un vēsturi; sociālās palīdzības datus un to vēsturi: pabalsti, pakalpojumi, izziņas, sociālais statuss; informāciju, kura nepieciešama sociālās palīdzības iztikas līdzekļu deklarācijas pārbaudei: īpašumi, ienākumi, uztur</w:t>
      </w:r>
      <w:r>
        <w:t xml:space="preserve"> </w:t>
      </w:r>
      <w:r w:rsidRPr="00E50934">
        <w:t>līgumi, radinieki</w:t>
      </w:r>
      <w:r>
        <w:t xml:space="preserve"> u.c.</w:t>
      </w:r>
      <w:r w:rsidRPr="00E50934">
        <w:t xml:space="preserve"> P</w:t>
      </w:r>
      <w:r>
        <w:t xml:space="preserve">akalpojuma sniedzējs </w:t>
      </w:r>
      <w:r w:rsidRPr="00E50934">
        <w:t xml:space="preserve">atbilstoši Fizisko personu datu aizsardzības likuma </w:t>
      </w:r>
      <w:r>
        <w:t xml:space="preserve">un citu normatīvo aktu </w:t>
      </w:r>
      <w:r w:rsidRPr="00E50934">
        <w:t>prasībām nodrošina P</w:t>
      </w:r>
      <w:r>
        <w:t xml:space="preserve">akalpojuma saņēmējam </w:t>
      </w:r>
      <w:r w:rsidRPr="00E50934">
        <w:t>pēc tā pieprasījuma informāciju par to, kurš citas pašvaldības vai valsts iestādes lietotājs kādus personu datus noteiktā laika periodā ir izmantojis.</w:t>
      </w:r>
    </w:p>
    <w:p w:rsidR="00AC32ED" w:rsidRDefault="00AC32ED" w:rsidP="00AC32ED">
      <w:pPr>
        <w:tabs>
          <w:tab w:val="left" w:pos="-567"/>
        </w:tabs>
        <w:ind w:firstLine="567"/>
        <w:jc w:val="both"/>
      </w:pPr>
      <w:r>
        <w:t>4.3. Pakalpojuma saņēmējs ir ar Programmām apstrādājamo datu īpašnieks neatkarīgi no tā, vai Pakalpojuma sniedzējs nodrošina ar Programmu saistīto datu bāzu izmitināšanas pakalpojumu sniegšanu vai nenodrošina.</w:t>
      </w:r>
    </w:p>
    <w:p w:rsidR="00AC32ED" w:rsidRPr="005904CD" w:rsidRDefault="00AC32ED" w:rsidP="00AC32ED">
      <w:pPr>
        <w:tabs>
          <w:tab w:val="left" w:pos="426"/>
        </w:tabs>
        <w:spacing w:before="120"/>
        <w:ind w:left="425" w:hanging="425"/>
        <w:jc w:val="center"/>
        <w:rPr>
          <w:b/>
        </w:rPr>
      </w:pPr>
      <w:r>
        <w:rPr>
          <w:b/>
        </w:rPr>
        <w:t>5</w:t>
      </w:r>
      <w:r w:rsidRPr="005904CD">
        <w:rPr>
          <w:b/>
        </w:rPr>
        <w:t>. Līgumcena un norēķinu kārtība</w:t>
      </w:r>
    </w:p>
    <w:p w:rsidR="00AC32ED" w:rsidRDefault="00AC32ED" w:rsidP="00AC32ED">
      <w:pPr>
        <w:tabs>
          <w:tab w:val="left" w:pos="720"/>
        </w:tabs>
        <w:ind w:firstLine="567"/>
        <w:jc w:val="both"/>
      </w:pPr>
      <w:r>
        <w:t>5.1</w:t>
      </w:r>
      <w:r w:rsidRPr="00C44212">
        <w:t xml:space="preserve">. </w:t>
      </w:r>
      <w:r>
        <w:t>L</w:t>
      </w:r>
      <w:r w:rsidRPr="00C44212">
        <w:t>īguma 2.</w:t>
      </w:r>
      <w:r>
        <w:t>1.</w:t>
      </w:r>
      <w:r w:rsidRPr="00C44212">
        <w:t xml:space="preserve">punktā minēto pakalpojumu </w:t>
      </w:r>
      <w:r w:rsidRPr="006119ED">
        <w:rPr>
          <w:u w:val="single"/>
        </w:rPr>
        <w:t xml:space="preserve">cena, neieskaitot pievienotās vērtības nodokli (PVN) ir EUR </w:t>
      </w:r>
      <w:r w:rsidR="006119ED" w:rsidRPr="006119ED">
        <w:rPr>
          <w:u w:val="single"/>
        </w:rPr>
        <w:t>48750,00</w:t>
      </w:r>
      <w:r w:rsidRPr="001E6AC4">
        <w:t xml:space="preserve"> (</w:t>
      </w:r>
      <w:r w:rsidR="006119ED">
        <w:t xml:space="preserve">četrdesmit astoņu tūkstoši septiņi simti piecdesmit </w:t>
      </w:r>
      <w:proofErr w:type="spellStart"/>
      <w:r w:rsidR="006119ED" w:rsidRPr="006119ED">
        <w:rPr>
          <w:i/>
        </w:rPr>
        <w:t>euro</w:t>
      </w:r>
      <w:proofErr w:type="spellEnd"/>
      <w:r w:rsidR="006119ED">
        <w:t>, 00 centi</w:t>
      </w:r>
      <w:r w:rsidRPr="001E6AC4">
        <w:t>)</w:t>
      </w:r>
      <w:r w:rsidRPr="00C44212">
        <w:t xml:space="preserve"> un PVN</w:t>
      </w:r>
      <w:r>
        <w:t xml:space="preserve"> </w:t>
      </w:r>
      <w:r w:rsidR="006119ED">
        <w:t>21</w:t>
      </w:r>
      <w:r w:rsidRPr="00C44212">
        <w:t>%</w:t>
      </w:r>
      <w:r>
        <w:t xml:space="preserve"> summa – </w:t>
      </w:r>
      <w:r w:rsidRPr="00C44212">
        <w:t xml:space="preserve">EUR </w:t>
      </w:r>
      <w:r w:rsidR="006119ED">
        <w:t>10237,50</w:t>
      </w:r>
      <w:r w:rsidRPr="001E6AC4">
        <w:t xml:space="preserve"> (</w:t>
      </w:r>
      <w:r w:rsidR="006119ED">
        <w:t xml:space="preserve">desmit tūkstoši divi simti trīsdesmit septiņi </w:t>
      </w:r>
      <w:proofErr w:type="spellStart"/>
      <w:r w:rsidR="006119ED" w:rsidRPr="006119ED">
        <w:rPr>
          <w:i/>
        </w:rPr>
        <w:t>euro</w:t>
      </w:r>
      <w:proofErr w:type="spellEnd"/>
      <w:r w:rsidR="006119ED">
        <w:t>, 50 centi</w:t>
      </w:r>
      <w:r w:rsidRPr="001E6AC4">
        <w:t>)</w:t>
      </w:r>
      <w:r w:rsidRPr="00C44212">
        <w:t xml:space="preserve">. </w:t>
      </w:r>
      <w:r>
        <w:t>K</w:t>
      </w:r>
      <w:r w:rsidRPr="00C44212">
        <w:t xml:space="preserve">opējā līgumcena, kuru </w:t>
      </w:r>
      <w:r w:rsidRPr="00E50934">
        <w:t>P</w:t>
      </w:r>
      <w:r>
        <w:t xml:space="preserve">akalpojuma saņēmējs </w:t>
      </w:r>
      <w:r w:rsidRPr="00C44212">
        <w:t xml:space="preserve">maksā </w:t>
      </w:r>
      <w:r w:rsidRPr="00E50934">
        <w:t>P</w:t>
      </w:r>
      <w:r>
        <w:t xml:space="preserve">akalpojuma sniedzējam par </w:t>
      </w:r>
      <w:r w:rsidRPr="00E50934">
        <w:t>P</w:t>
      </w:r>
      <w:r>
        <w:t xml:space="preserve">akalpojumu sniegšanu </w:t>
      </w:r>
      <w:r w:rsidRPr="00C44212">
        <w:t xml:space="preserve">ir </w:t>
      </w:r>
      <w:r w:rsidRPr="006119ED">
        <w:rPr>
          <w:b/>
        </w:rPr>
        <w:t xml:space="preserve">EUR </w:t>
      </w:r>
      <w:r w:rsidR="006119ED" w:rsidRPr="006119ED">
        <w:rPr>
          <w:b/>
        </w:rPr>
        <w:t>58987,50</w:t>
      </w:r>
      <w:r w:rsidRPr="001E6AC4">
        <w:t xml:space="preserve"> (</w:t>
      </w:r>
      <w:r w:rsidR="006119ED" w:rsidRPr="006119ED">
        <w:rPr>
          <w:b/>
        </w:rPr>
        <w:t xml:space="preserve">piecdesmit astoņi tūkstoši deviņi simti astoņdesmit septiņi </w:t>
      </w:r>
      <w:proofErr w:type="spellStart"/>
      <w:r w:rsidR="006119ED" w:rsidRPr="006119ED">
        <w:rPr>
          <w:b/>
          <w:i/>
        </w:rPr>
        <w:t>euro</w:t>
      </w:r>
      <w:proofErr w:type="spellEnd"/>
      <w:r w:rsidR="006119ED">
        <w:t xml:space="preserve">,        </w:t>
      </w:r>
      <w:r w:rsidR="006119ED" w:rsidRPr="006119ED">
        <w:rPr>
          <w:b/>
        </w:rPr>
        <w:t>50 centi</w:t>
      </w:r>
      <w:r w:rsidRPr="001E6AC4">
        <w:t xml:space="preserve">). </w:t>
      </w:r>
    </w:p>
    <w:p w:rsidR="00AC32ED" w:rsidRPr="001E6AC4" w:rsidRDefault="00AC32ED" w:rsidP="00AC32ED">
      <w:pPr>
        <w:tabs>
          <w:tab w:val="left" w:pos="720"/>
        </w:tabs>
        <w:ind w:firstLine="567"/>
        <w:jc w:val="both"/>
      </w:pPr>
      <w:r>
        <w:t xml:space="preserve">5.2. </w:t>
      </w:r>
      <w:r w:rsidRPr="001E6AC4">
        <w:t>Ja saskaņā ar L</w:t>
      </w:r>
      <w:r>
        <w:t xml:space="preserve">atvijas </w:t>
      </w:r>
      <w:r w:rsidRPr="001E6AC4">
        <w:t>R</w:t>
      </w:r>
      <w:r>
        <w:t xml:space="preserve">epublikas </w:t>
      </w:r>
      <w:r w:rsidRPr="001E6AC4">
        <w:t xml:space="preserve">normatīvajiem aktiem mainās pievienotās vērtības </w:t>
      </w:r>
      <w:r>
        <w:t xml:space="preserve">nodokļa </w:t>
      </w:r>
      <w:r w:rsidRPr="001E6AC4">
        <w:t xml:space="preserve">(PVN) likme, tad </w:t>
      </w:r>
      <w:r>
        <w:t>Puses</w:t>
      </w:r>
      <w:r w:rsidRPr="001E6AC4">
        <w:t xml:space="preserve"> savstarpējos norēķinos piemēro jauno PVN likmi ar tās spēkā stāšanās datumu.</w:t>
      </w:r>
    </w:p>
    <w:p w:rsidR="00AC32ED" w:rsidRDefault="00AC32ED" w:rsidP="00AC32ED">
      <w:pPr>
        <w:ind w:firstLine="567"/>
        <w:jc w:val="both"/>
        <w:rPr>
          <w:lang w:eastAsia="lv-LV"/>
        </w:rPr>
      </w:pPr>
      <w:r>
        <w:t>5</w:t>
      </w:r>
      <w:r w:rsidRPr="00EF45E3">
        <w:t>.</w:t>
      </w:r>
      <w:r>
        <w:t>3.</w:t>
      </w:r>
      <w:r w:rsidRPr="00EF45E3">
        <w:t xml:space="preserve"> </w:t>
      </w:r>
      <w:r w:rsidRPr="00E50934">
        <w:t>P</w:t>
      </w:r>
      <w:r>
        <w:t xml:space="preserve">akalpojuma saņēmējs </w:t>
      </w:r>
      <w:r w:rsidRPr="00E50934">
        <w:t xml:space="preserve">Līguma </w:t>
      </w:r>
      <w:r>
        <w:t>5</w:t>
      </w:r>
      <w:r w:rsidRPr="00E50934">
        <w:t>.</w:t>
      </w:r>
      <w:r>
        <w:t>1.</w:t>
      </w:r>
      <w:r w:rsidRPr="00E50934">
        <w:t>punktā n</w:t>
      </w:r>
      <w:r>
        <w:t>oteikt</w:t>
      </w:r>
      <w:r w:rsidRPr="00E50934">
        <w:t>o līgumcenu apmaksā pa ceturkšņiem pēc P</w:t>
      </w:r>
      <w:r>
        <w:t xml:space="preserve">akalpojuma sniedzēja </w:t>
      </w:r>
      <w:r w:rsidRPr="00E50934">
        <w:t>ies</w:t>
      </w:r>
      <w:r>
        <w:t>nieg</w:t>
      </w:r>
      <w:r w:rsidRPr="00E50934">
        <w:t xml:space="preserve">tā rēķina, kurš var būt </w:t>
      </w:r>
      <w:r>
        <w:t xml:space="preserve">sagatavots </w:t>
      </w:r>
      <w:r w:rsidRPr="00E50934">
        <w:t>un nosūtīts elektroniski uz</w:t>
      </w:r>
      <w:r w:rsidRPr="00E50934">
        <w:rPr>
          <w:lang w:eastAsia="lv-LV"/>
        </w:rPr>
        <w:t xml:space="preserve"> </w:t>
      </w:r>
      <w:r w:rsidRPr="00E50934">
        <w:t>P</w:t>
      </w:r>
      <w:r>
        <w:t xml:space="preserve">akalpojuma saņēmēja </w:t>
      </w:r>
      <w:r w:rsidRPr="00E50934">
        <w:rPr>
          <w:lang w:eastAsia="lv-LV"/>
        </w:rPr>
        <w:t>elektroniskā pasta adresi.</w:t>
      </w:r>
    </w:p>
    <w:p w:rsidR="00AC32ED" w:rsidRPr="005904CD" w:rsidRDefault="00AC32ED" w:rsidP="00AC32ED">
      <w:pPr>
        <w:spacing w:before="120"/>
        <w:ind w:left="425" w:hanging="425"/>
        <w:jc w:val="center"/>
        <w:rPr>
          <w:b/>
        </w:rPr>
      </w:pPr>
      <w:r>
        <w:rPr>
          <w:b/>
          <w:lang w:eastAsia="lv-LV"/>
        </w:rPr>
        <w:t>6</w:t>
      </w:r>
      <w:r w:rsidRPr="005904CD">
        <w:rPr>
          <w:b/>
          <w:lang w:eastAsia="lv-LV"/>
        </w:rPr>
        <w:t>. Papildu pakalpojumi</w:t>
      </w:r>
    </w:p>
    <w:p w:rsidR="00AC32ED" w:rsidRDefault="00AC32ED" w:rsidP="00AC32ED">
      <w:pPr>
        <w:ind w:firstLine="567"/>
        <w:jc w:val="both"/>
      </w:pPr>
      <w:r>
        <w:t xml:space="preserve">6.1. </w:t>
      </w:r>
      <w:r w:rsidRPr="00E50934">
        <w:t>Ja P</w:t>
      </w:r>
      <w:r>
        <w:t xml:space="preserve">akalpojuma saņēmējam </w:t>
      </w:r>
      <w:r w:rsidRPr="00E50934">
        <w:t>ir nepieciešams P</w:t>
      </w:r>
      <w:r>
        <w:t xml:space="preserve">akalpojuma sniedzēja </w:t>
      </w:r>
      <w:r w:rsidRPr="00E50934">
        <w:t>speciālista apmeklējums, tad P</w:t>
      </w:r>
      <w:r>
        <w:t>akalpojuma sniedzējs</w:t>
      </w:r>
      <w:r w:rsidRPr="00E50934">
        <w:t xml:space="preserve">, iepriekš vienojoties par laiku, to nodrošina par atsevišķu </w:t>
      </w:r>
      <w:r>
        <w:t xml:space="preserve">(papildu) </w:t>
      </w:r>
      <w:r w:rsidRPr="00E50934">
        <w:t>samaksu, kas tiek noteikta, balstoties uz P</w:t>
      </w:r>
      <w:r>
        <w:t xml:space="preserve">akalpojuma sniedzēja </w:t>
      </w:r>
      <w:r w:rsidRPr="00E50934">
        <w:t xml:space="preserve">speciālista </w:t>
      </w:r>
      <w:r>
        <w:t>vienas</w:t>
      </w:r>
      <w:r w:rsidRPr="00E50934">
        <w:t xml:space="preserve"> stundas izcenojumu. Apmeklējuma laikā tiek iekļauts arī speciālista ceļā pavadītais laiks.</w:t>
      </w:r>
    </w:p>
    <w:p w:rsidR="00AC32ED" w:rsidRPr="00E50934" w:rsidRDefault="00AC32ED" w:rsidP="00AC32ED">
      <w:pPr>
        <w:ind w:firstLine="567"/>
        <w:jc w:val="both"/>
      </w:pPr>
      <w:r>
        <w:t xml:space="preserve">6.2. Ja Pakalpojumu saņēmējam ir nepieciešama kādas no Līguma 1.2.punktā minētās VPS sastāvā esošās Programmas vai moduļa pirmreizējā iedarbināšana, tad starp Pakalpojuma saņēmēju un Pakalpojuma sniedzēju var tikt slēgts papildu līgums un norēķini notiek pēc izpildīta darba apjoma saskaņā ar Pakalpojuma sniedzēja speciālista vienas stundas likmi. Ja Programmu vai to moduļu pirmreizējai iedarbināšanai ir nepieciešama to sākotnēja instalēšana, tad to veic Pakalpojuma saņēmējs. </w:t>
      </w:r>
    </w:p>
    <w:p w:rsidR="00AC32ED" w:rsidRPr="00E50934" w:rsidRDefault="00AC32ED" w:rsidP="00AC32ED">
      <w:pPr>
        <w:tabs>
          <w:tab w:val="left" w:pos="0"/>
        </w:tabs>
        <w:ind w:firstLine="567"/>
        <w:jc w:val="both"/>
      </w:pPr>
      <w:r>
        <w:t xml:space="preserve">6.3. </w:t>
      </w:r>
      <w:r w:rsidRPr="00E50934">
        <w:t>P</w:t>
      </w:r>
      <w:r>
        <w:t xml:space="preserve">akalpojuma sniedzējs </w:t>
      </w:r>
      <w:r w:rsidRPr="00E50934">
        <w:t xml:space="preserve">nodrošina </w:t>
      </w:r>
      <w:r>
        <w:t>P</w:t>
      </w:r>
      <w:r w:rsidRPr="00E50934">
        <w:t>rogrammu lietotāju apmācību semināru veidā P</w:t>
      </w:r>
      <w:r>
        <w:t xml:space="preserve">akalpojuma sniedzēja </w:t>
      </w:r>
      <w:r w:rsidRPr="00E50934">
        <w:t xml:space="preserve">datorklasē par atsevišķu </w:t>
      </w:r>
      <w:r>
        <w:t xml:space="preserve">(papildu) </w:t>
      </w:r>
      <w:r w:rsidRPr="00E50934">
        <w:t>samaksu</w:t>
      </w:r>
      <w:r w:rsidR="00397323">
        <w:t>.</w:t>
      </w:r>
      <w:r w:rsidRPr="00E50934">
        <w:t xml:space="preserve"> Par semināru laikiem P</w:t>
      </w:r>
      <w:r>
        <w:t xml:space="preserve">akalpojuma sniedzējs </w:t>
      </w:r>
      <w:r w:rsidRPr="00E50934">
        <w:t>iepriekš vienojas ar P</w:t>
      </w:r>
      <w:r>
        <w:t>akalpojuma saņēmēju</w:t>
      </w:r>
      <w:r w:rsidRPr="00E50934">
        <w:t>.</w:t>
      </w:r>
    </w:p>
    <w:p w:rsidR="00AC32ED" w:rsidRPr="00E50934" w:rsidRDefault="00AC32ED" w:rsidP="00AC32ED">
      <w:pPr>
        <w:ind w:firstLine="567"/>
        <w:jc w:val="both"/>
      </w:pPr>
      <w:r>
        <w:t xml:space="preserve">6.4. </w:t>
      </w:r>
      <w:r w:rsidRPr="00E50934">
        <w:t>P</w:t>
      </w:r>
      <w:r>
        <w:t xml:space="preserve">akalpojuma sniedzējs </w:t>
      </w:r>
      <w:r w:rsidRPr="00E50934">
        <w:t>nodrošina sertifikācijas pārbaudījumu un sertifikāta izsniegšanu, ja sertifikācijas pārbaudījums ir sekmīgi nokārtots, par Līguma 1.</w:t>
      </w:r>
      <w:r>
        <w:t>2.</w:t>
      </w:r>
      <w:r w:rsidRPr="00E50934">
        <w:t xml:space="preserve">punktā minēto programmu </w:t>
      </w:r>
      <w:r w:rsidRPr="00E50934">
        <w:lastRenderedPageBreak/>
        <w:t>lietošanu par atsevišķu samaksu. Par sertifikācijas pārbaudījumu laikiem P</w:t>
      </w:r>
      <w:r>
        <w:t xml:space="preserve">akalpojuma sniedzējs </w:t>
      </w:r>
      <w:r w:rsidRPr="00E50934">
        <w:t>iepriekš vienojas ar P</w:t>
      </w:r>
      <w:r>
        <w:t>akalpojuma saņēmēju</w:t>
      </w:r>
      <w:r w:rsidRPr="00E50934">
        <w:t>.</w:t>
      </w:r>
    </w:p>
    <w:p w:rsidR="00AC32ED" w:rsidRDefault="00AC32ED" w:rsidP="00AC32ED">
      <w:pPr>
        <w:ind w:firstLine="567"/>
        <w:jc w:val="both"/>
      </w:pPr>
      <w:r>
        <w:t xml:space="preserve">6.5. </w:t>
      </w:r>
      <w:r w:rsidRPr="00E50934">
        <w:t>Ja P</w:t>
      </w:r>
      <w:r>
        <w:t xml:space="preserve">akalpojuma saņēmējs </w:t>
      </w:r>
      <w:r w:rsidRPr="00E50934">
        <w:t>vēlas saņemt no P</w:t>
      </w:r>
      <w:r>
        <w:t xml:space="preserve">akalpojuma sniedzēja papildus </w:t>
      </w:r>
      <w:r w:rsidRPr="00E50934">
        <w:t xml:space="preserve">ar datu apstrādi vai </w:t>
      </w:r>
      <w:r>
        <w:t>P</w:t>
      </w:r>
      <w:r w:rsidRPr="00E50934">
        <w:t>rogrammu papildināšanu saistītus papildu pakalpojumus, kuri nav minēti Līguma 2.</w:t>
      </w:r>
      <w:r>
        <w:t>1.</w:t>
      </w:r>
      <w:r w:rsidRPr="00E50934">
        <w:t>punktā, tad P</w:t>
      </w:r>
      <w:r>
        <w:t xml:space="preserve">akalpojuma sniedzējs </w:t>
      </w:r>
      <w:r w:rsidRPr="00E50934">
        <w:t xml:space="preserve">tos var </w:t>
      </w:r>
      <w:r>
        <w:t>iepirkt Valsts elektronisko iepirkumu sistēmā (EIS) vai arī, slēdzot ar Pakalpojuma sniedzēju atsevišķu līgumu.</w:t>
      </w:r>
    </w:p>
    <w:p w:rsidR="00AC32ED" w:rsidRPr="00805DFC" w:rsidRDefault="00AC32ED" w:rsidP="00AC32ED">
      <w:pPr>
        <w:spacing w:before="120"/>
        <w:ind w:left="425" w:hanging="425"/>
        <w:jc w:val="center"/>
        <w:rPr>
          <w:b/>
        </w:rPr>
      </w:pPr>
      <w:r>
        <w:rPr>
          <w:b/>
        </w:rPr>
        <w:t>7</w:t>
      </w:r>
      <w:r w:rsidRPr="00805DFC">
        <w:rPr>
          <w:b/>
        </w:rPr>
        <w:t>. Nobeiguma noteikumi</w:t>
      </w:r>
    </w:p>
    <w:p w:rsidR="00AC32ED" w:rsidRPr="00431AAA" w:rsidRDefault="00AC32ED" w:rsidP="00AC32ED">
      <w:pPr>
        <w:pStyle w:val="BodyText"/>
        <w:numPr>
          <w:ilvl w:val="1"/>
          <w:numId w:val="3"/>
        </w:numPr>
        <w:tabs>
          <w:tab w:val="left" w:pos="0"/>
          <w:tab w:val="left" w:pos="993"/>
        </w:tabs>
        <w:overflowPunct/>
        <w:autoSpaceDE/>
        <w:ind w:left="0" w:firstLine="567"/>
        <w:textAlignment w:val="auto"/>
        <w:rPr>
          <w:szCs w:val="24"/>
        </w:rPr>
      </w:pPr>
      <w:r w:rsidRPr="00C80FB4">
        <w:rPr>
          <w:iCs/>
          <w:szCs w:val="24"/>
        </w:rPr>
        <w:t xml:space="preserve">Visi </w:t>
      </w:r>
      <w:r>
        <w:rPr>
          <w:iCs/>
          <w:szCs w:val="24"/>
        </w:rPr>
        <w:t>L</w:t>
      </w:r>
      <w:r w:rsidRPr="00C80FB4">
        <w:rPr>
          <w:iCs/>
          <w:szCs w:val="24"/>
        </w:rPr>
        <w:t>īguma grozījumi vai papildinājumi ir veicami rakstiski, P</w:t>
      </w:r>
      <w:r>
        <w:rPr>
          <w:iCs/>
          <w:szCs w:val="24"/>
        </w:rPr>
        <w:t>ušu</w:t>
      </w:r>
      <w:r w:rsidRPr="00C80FB4">
        <w:rPr>
          <w:iCs/>
          <w:szCs w:val="24"/>
        </w:rPr>
        <w:t xml:space="preserve"> pārstāvjiem tos parakstot</w:t>
      </w:r>
      <w:r>
        <w:rPr>
          <w:iCs/>
          <w:szCs w:val="24"/>
        </w:rPr>
        <w:t>, ievērojot Publisko iepirkumu likuma 61.panta prasības</w:t>
      </w:r>
      <w:r w:rsidRPr="00C80FB4">
        <w:rPr>
          <w:iCs/>
          <w:szCs w:val="24"/>
        </w:rPr>
        <w:t xml:space="preserve">. Tie ir spēkā no parakstīšanas brīža un ir </w:t>
      </w:r>
      <w:r>
        <w:rPr>
          <w:iCs/>
          <w:szCs w:val="24"/>
        </w:rPr>
        <w:t>L</w:t>
      </w:r>
      <w:r w:rsidRPr="00C80FB4">
        <w:rPr>
          <w:iCs/>
          <w:szCs w:val="24"/>
        </w:rPr>
        <w:t>īguma neatņemamas sastāvdaļas.</w:t>
      </w:r>
    </w:p>
    <w:p w:rsidR="00AC32ED" w:rsidRDefault="00AC32ED" w:rsidP="00AC32ED">
      <w:pPr>
        <w:numPr>
          <w:ilvl w:val="1"/>
          <w:numId w:val="3"/>
        </w:numPr>
        <w:tabs>
          <w:tab w:val="left" w:pos="993"/>
        </w:tabs>
        <w:suppressAutoHyphens w:val="0"/>
        <w:ind w:left="0" w:firstLine="567"/>
        <w:jc w:val="both"/>
      </w:pPr>
      <w:r w:rsidRPr="00FF6541">
        <w:t>P</w:t>
      </w:r>
      <w:r>
        <w:t>uses</w:t>
      </w:r>
      <w:r w:rsidRPr="00FF6541">
        <w:t xml:space="preserve"> pilnā apmērā atlīdzina viena otrai visus nodarītus zaudējumus, saskaņā ar Latvijas Republikas Civillikuma normām, ja zaudējumi ir radušies </w:t>
      </w:r>
      <w:r>
        <w:t>L</w:t>
      </w:r>
      <w:r w:rsidRPr="00FF6541">
        <w:t>īguma saistību neizpildes vai nepienācīgas izpildes rezultātā.</w:t>
      </w:r>
    </w:p>
    <w:p w:rsidR="00AC32ED" w:rsidRPr="009A36B5" w:rsidRDefault="00AC32ED" w:rsidP="00AC32ED">
      <w:pPr>
        <w:pStyle w:val="BodyText"/>
        <w:numPr>
          <w:ilvl w:val="1"/>
          <w:numId w:val="3"/>
        </w:numPr>
        <w:tabs>
          <w:tab w:val="left" w:pos="-567"/>
          <w:tab w:val="left" w:pos="993"/>
        </w:tabs>
        <w:suppressAutoHyphens w:val="0"/>
        <w:overflowPunct/>
        <w:autoSpaceDE/>
        <w:ind w:left="0" w:firstLine="567"/>
        <w:textAlignment w:val="auto"/>
        <w:rPr>
          <w:iCs/>
          <w:szCs w:val="24"/>
        </w:rPr>
      </w:pPr>
      <w:r w:rsidRPr="009A36B5">
        <w:rPr>
          <w:iCs/>
          <w:szCs w:val="24"/>
        </w:rPr>
        <w:t xml:space="preserve">Strīdus un domstarpības, kas var rasties </w:t>
      </w:r>
      <w:r>
        <w:rPr>
          <w:iCs/>
          <w:szCs w:val="24"/>
        </w:rPr>
        <w:t>L</w:t>
      </w:r>
      <w:r w:rsidRPr="009A36B5">
        <w:rPr>
          <w:iCs/>
          <w:szCs w:val="24"/>
        </w:rPr>
        <w:t xml:space="preserve">īguma izpildes rezultātā vai sakarā ar </w:t>
      </w:r>
      <w:r>
        <w:rPr>
          <w:iCs/>
          <w:szCs w:val="24"/>
        </w:rPr>
        <w:t>L</w:t>
      </w:r>
      <w:r w:rsidRPr="009A36B5">
        <w:rPr>
          <w:iCs/>
          <w:szCs w:val="24"/>
        </w:rPr>
        <w:t>īgumu, P</w:t>
      </w:r>
      <w:r>
        <w:rPr>
          <w:iCs/>
          <w:szCs w:val="24"/>
        </w:rPr>
        <w:t>uses</w:t>
      </w:r>
      <w:r w:rsidRPr="009A36B5">
        <w:rPr>
          <w:iCs/>
          <w:szCs w:val="24"/>
        </w:rPr>
        <w:t xml:space="preserve"> atrisina savstarpēju pārrunu ceļā. Ja P</w:t>
      </w:r>
      <w:r>
        <w:rPr>
          <w:iCs/>
          <w:szCs w:val="24"/>
        </w:rPr>
        <w:t xml:space="preserve">uses </w:t>
      </w:r>
      <w:r w:rsidRPr="009A36B5">
        <w:rPr>
          <w:iCs/>
          <w:szCs w:val="24"/>
        </w:rPr>
        <w:t>nevar panākt vienošanos, tad strīds risināms tiesā, saskaņā ar Latvijas Republikas normatīvajiem aktiem.</w:t>
      </w:r>
    </w:p>
    <w:p w:rsidR="00AC32ED" w:rsidRPr="00C80FB4" w:rsidRDefault="00AC32ED" w:rsidP="00AC32ED">
      <w:pPr>
        <w:pStyle w:val="BodyText"/>
        <w:tabs>
          <w:tab w:val="left" w:pos="-426"/>
        </w:tabs>
        <w:suppressAutoHyphens w:val="0"/>
        <w:overflowPunct/>
        <w:autoSpaceDE/>
        <w:ind w:firstLine="567"/>
        <w:textAlignment w:val="auto"/>
        <w:rPr>
          <w:szCs w:val="24"/>
        </w:rPr>
      </w:pPr>
      <w:r>
        <w:rPr>
          <w:iCs/>
          <w:szCs w:val="24"/>
        </w:rPr>
        <w:t>7.4.</w:t>
      </w:r>
      <w:r w:rsidRPr="00C80FB4">
        <w:rPr>
          <w:iCs/>
          <w:szCs w:val="24"/>
        </w:rPr>
        <w:t xml:space="preserve"> P</w:t>
      </w:r>
      <w:r>
        <w:rPr>
          <w:iCs/>
          <w:szCs w:val="24"/>
        </w:rPr>
        <w:t>uses</w:t>
      </w:r>
      <w:r w:rsidRPr="00C80FB4">
        <w:rPr>
          <w:iCs/>
          <w:szCs w:val="24"/>
        </w:rPr>
        <w:t xml:space="preserve"> 3 (triju) darba dienu laikā informē viena otru par adreses, bankas vai citu rekvizītu izmaiņām.</w:t>
      </w:r>
    </w:p>
    <w:p w:rsidR="00AC32ED" w:rsidRPr="00294F95" w:rsidRDefault="00AC32ED" w:rsidP="00AC32ED">
      <w:pPr>
        <w:pStyle w:val="BodyText"/>
        <w:suppressAutoHyphens w:val="0"/>
        <w:overflowPunct/>
        <w:autoSpaceDE/>
        <w:ind w:firstLine="567"/>
        <w:textAlignment w:val="auto"/>
        <w:rPr>
          <w:iCs/>
          <w:szCs w:val="24"/>
        </w:rPr>
      </w:pPr>
      <w:r>
        <w:rPr>
          <w:iCs/>
          <w:color w:val="000000"/>
          <w:szCs w:val="24"/>
        </w:rPr>
        <w:t xml:space="preserve">7.5. </w:t>
      </w:r>
      <w:r w:rsidRPr="00610D35">
        <w:rPr>
          <w:iCs/>
          <w:color w:val="000000"/>
          <w:szCs w:val="24"/>
        </w:rPr>
        <w:t xml:space="preserve">Līgums sastādīts latviešu valodā uz </w:t>
      </w:r>
      <w:r w:rsidR="00773A51">
        <w:rPr>
          <w:iCs/>
          <w:color w:val="000000"/>
          <w:szCs w:val="24"/>
        </w:rPr>
        <w:t>4</w:t>
      </w:r>
      <w:r w:rsidRPr="00610D35">
        <w:rPr>
          <w:iCs/>
          <w:color w:val="000000"/>
          <w:szCs w:val="24"/>
        </w:rPr>
        <w:t xml:space="preserve"> (</w:t>
      </w:r>
      <w:r w:rsidR="00773A51">
        <w:rPr>
          <w:iCs/>
          <w:color w:val="000000"/>
          <w:szCs w:val="24"/>
        </w:rPr>
        <w:t>četrām</w:t>
      </w:r>
      <w:r w:rsidRPr="00610D35">
        <w:rPr>
          <w:iCs/>
          <w:color w:val="000000"/>
          <w:szCs w:val="24"/>
        </w:rPr>
        <w:t xml:space="preserve">) lapām 2 (divos) eksemplāros ar vienādu juridisku spēku, no kuriem viens glabājas pie </w:t>
      </w:r>
      <w:r w:rsidRPr="00E50934">
        <w:t>P</w:t>
      </w:r>
      <w:r>
        <w:t xml:space="preserve">akalpojuma saņēmēja </w:t>
      </w:r>
      <w:r w:rsidRPr="00610D35">
        <w:rPr>
          <w:iCs/>
          <w:color w:val="000000"/>
          <w:szCs w:val="24"/>
        </w:rPr>
        <w:t xml:space="preserve">un viens pie </w:t>
      </w:r>
      <w:r w:rsidRPr="00E50934">
        <w:t>P</w:t>
      </w:r>
      <w:r>
        <w:t>akalpojuma sniedzēja</w:t>
      </w:r>
      <w:r w:rsidRPr="00610D35">
        <w:rPr>
          <w:iCs/>
          <w:color w:val="000000"/>
          <w:szCs w:val="24"/>
        </w:rPr>
        <w:t xml:space="preserve">, ar sekojošiem pielikumiem: </w:t>
      </w:r>
      <w:r>
        <w:rPr>
          <w:iCs/>
          <w:color w:val="000000"/>
          <w:szCs w:val="24"/>
        </w:rPr>
        <w:t xml:space="preserve">Līguma </w:t>
      </w:r>
      <w:r w:rsidRPr="00610D35">
        <w:rPr>
          <w:iCs/>
          <w:color w:val="000000"/>
          <w:szCs w:val="24"/>
        </w:rPr>
        <w:t xml:space="preserve">pielikums Nr.1 </w:t>
      </w:r>
      <w:r>
        <w:rPr>
          <w:iCs/>
          <w:color w:val="000000"/>
          <w:szCs w:val="24"/>
        </w:rPr>
        <w:t>„</w:t>
      </w:r>
      <w:r w:rsidRPr="00610D35">
        <w:rPr>
          <w:iCs/>
          <w:color w:val="000000"/>
          <w:szCs w:val="24"/>
        </w:rPr>
        <w:t>Tehnisk</w:t>
      </w:r>
      <w:r>
        <w:rPr>
          <w:iCs/>
          <w:color w:val="000000"/>
          <w:szCs w:val="24"/>
        </w:rPr>
        <w:t>ais</w:t>
      </w:r>
      <w:r w:rsidRPr="00610D35">
        <w:rPr>
          <w:iCs/>
          <w:color w:val="000000"/>
          <w:szCs w:val="24"/>
        </w:rPr>
        <w:t xml:space="preserve"> p</w:t>
      </w:r>
      <w:r>
        <w:rPr>
          <w:iCs/>
          <w:color w:val="000000"/>
          <w:szCs w:val="24"/>
        </w:rPr>
        <w:t>i</w:t>
      </w:r>
      <w:r w:rsidRPr="00610D35">
        <w:rPr>
          <w:iCs/>
          <w:color w:val="000000"/>
          <w:szCs w:val="24"/>
        </w:rPr>
        <w:t>e</w:t>
      </w:r>
      <w:r>
        <w:rPr>
          <w:iCs/>
          <w:color w:val="000000"/>
          <w:szCs w:val="24"/>
        </w:rPr>
        <w:t>dāvājums”</w:t>
      </w:r>
      <w:r w:rsidRPr="00610D35">
        <w:rPr>
          <w:iCs/>
          <w:color w:val="000000"/>
          <w:szCs w:val="24"/>
        </w:rPr>
        <w:t xml:space="preserve"> uz</w:t>
      </w:r>
      <w:r w:rsidR="00064350">
        <w:rPr>
          <w:iCs/>
          <w:color w:val="000000"/>
          <w:szCs w:val="24"/>
        </w:rPr>
        <w:t xml:space="preserve">           </w:t>
      </w:r>
      <w:r w:rsidRPr="00610D35">
        <w:rPr>
          <w:iCs/>
          <w:color w:val="000000"/>
          <w:szCs w:val="24"/>
        </w:rPr>
        <w:t xml:space="preserve"> </w:t>
      </w:r>
      <w:r w:rsidR="00064350">
        <w:rPr>
          <w:iCs/>
          <w:color w:val="000000"/>
          <w:szCs w:val="24"/>
        </w:rPr>
        <w:t>3</w:t>
      </w:r>
      <w:r w:rsidRPr="00610D35">
        <w:rPr>
          <w:iCs/>
          <w:color w:val="000000"/>
          <w:szCs w:val="24"/>
        </w:rPr>
        <w:t xml:space="preserve"> (</w:t>
      </w:r>
      <w:r w:rsidR="00064350">
        <w:rPr>
          <w:iCs/>
          <w:color w:val="000000"/>
          <w:szCs w:val="24"/>
        </w:rPr>
        <w:t>trim</w:t>
      </w:r>
      <w:r w:rsidRPr="00610D35">
        <w:rPr>
          <w:iCs/>
          <w:color w:val="000000"/>
          <w:szCs w:val="24"/>
        </w:rPr>
        <w:t>) lapām</w:t>
      </w:r>
      <w:r>
        <w:rPr>
          <w:iCs/>
          <w:color w:val="000000"/>
          <w:szCs w:val="24"/>
        </w:rPr>
        <w:t xml:space="preserve"> un</w:t>
      </w:r>
      <w:r w:rsidRPr="00610D35">
        <w:rPr>
          <w:iCs/>
          <w:color w:val="000000"/>
          <w:szCs w:val="24"/>
        </w:rPr>
        <w:t xml:space="preserve"> </w:t>
      </w:r>
      <w:r>
        <w:rPr>
          <w:iCs/>
          <w:color w:val="000000"/>
          <w:szCs w:val="24"/>
        </w:rPr>
        <w:t xml:space="preserve">Līguma </w:t>
      </w:r>
      <w:r w:rsidRPr="00294F95">
        <w:rPr>
          <w:iCs/>
          <w:color w:val="000000"/>
          <w:szCs w:val="24"/>
        </w:rPr>
        <w:t xml:space="preserve">pielikums Nr.2 </w:t>
      </w:r>
      <w:r>
        <w:rPr>
          <w:iCs/>
          <w:color w:val="000000"/>
          <w:szCs w:val="24"/>
        </w:rPr>
        <w:t>„</w:t>
      </w:r>
      <w:r w:rsidRPr="00294F95">
        <w:rPr>
          <w:iCs/>
          <w:color w:val="000000"/>
          <w:szCs w:val="24"/>
        </w:rPr>
        <w:t>Finanšu piedāvājums</w:t>
      </w:r>
      <w:r>
        <w:rPr>
          <w:iCs/>
          <w:color w:val="000000"/>
          <w:szCs w:val="24"/>
        </w:rPr>
        <w:t>”</w:t>
      </w:r>
      <w:r w:rsidRPr="00812028">
        <w:rPr>
          <w:iCs/>
          <w:color w:val="000000"/>
          <w:szCs w:val="24"/>
        </w:rPr>
        <w:t xml:space="preserve"> </w:t>
      </w:r>
      <w:r w:rsidRPr="00610D35">
        <w:rPr>
          <w:iCs/>
          <w:color w:val="000000"/>
          <w:szCs w:val="24"/>
        </w:rPr>
        <w:t xml:space="preserve">uz </w:t>
      </w:r>
      <w:r>
        <w:rPr>
          <w:iCs/>
          <w:color w:val="000000"/>
          <w:szCs w:val="24"/>
        </w:rPr>
        <w:t>vienas</w:t>
      </w:r>
      <w:r w:rsidRPr="00610D35">
        <w:rPr>
          <w:iCs/>
          <w:color w:val="000000"/>
          <w:szCs w:val="24"/>
        </w:rPr>
        <w:t xml:space="preserve"> lap</w:t>
      </w:r>
      <w:r>
        <w:rPr>
          <w:iCs/>
          <w:color w:val="000000"/>
          <w:szCs w:val="24"/>
        </w:rPr>
        <w:t>as</w:t>
      </w:r>
      <w:r w:rsidRPr="00294F95">
        <w:rPr>
          <w:iCs/>
          <w:color w:val="000000"/>
          <w:szCs w:val="24"/>
        </w:rPr>
        <w:t>.</w:t>
      </w:r>
      <w:r w:rsidRPr="00294F95">
        <w:rPr>
          <w:iCs/>
          <w:color w:val="FF0000"/>
          <w:szCs w:val="24"/>
        </w:rPr>
        <w:t xml:space="preserve"> </w:t>
      </w:r>
    </w:p>
    <w:p w:rsidR="00AC32ED" w:rsidRPr="00294F95" w:rsidRDefault="00AC32ED" w:rsidP="00AC32ED">
      <w:pPr>
        <w:pStyle w:val="BodyText"/>
        <w:numPr>
          <w:ilvl w:val="0"/>
          <w:numId w:val="2"/>
        </w:numPr>
        <w:tabs>
          <w:tab w:val="left" w:pos="0"/>
          <w:tab w:val="left" w:pos="480"/>
        </w:tabs>
        <w:suppressAutoHyphens w:val="0"/>
        <w:overflowPunct/>
        <w:autoSpaceDE/>
        <w:spacing w:before="120" w:after="120"/>
        <w:ind w:left="357" w:hanging="357"/>
        <w:jc w:val="center"/>
        <w:textAlignment w:val="auto"/>
        <w:rPr>
          <w:b/>
          <w:iCs/>
          <w:szCs w:val="24"/>
        </w:rPr>
      </w:pPr>
      <w:r w:rsidRPr="00294F95">
        <w:rPr>
          <w:b/>
          <w:iCs/>
          <w:szCs w:val="24"/>
        </w:rPr>
        <w:t>Pušu rekvizīti un paraksti</w:t>
      </w:r>
    </w:p>
    <w:tbl>
      <w:tblPr>
        <w:tblW w:w="9356" w:type="dxa"/>
        <w:tblInd w:w="108" w:type="dxa"/>
        <w:tblLayout w:type="fixed"/>
        <w:tblLook w:val="04A0" w:firstRow="1" w:lastRow="0" w:firstColumn="1" w:lastColumn="0" w:noHBand="0" w:noVBand="1"/>
      </w:tblPr>
      <w:tblGrid>
        <w:gridCol w:w="4678"/>
        <w:gridCol w:w="4678"/>
      </w:tblGrid>
      <w:tr w:rsidR="00AC32ED" w:rsidRPr="00294F95" w:rsidTr="00CE3D32">
        <w:trPr>
          <w:trHeight w:val="225"/>
        </w:trPr>
        <w:tc>
          <w:tcPr>
            <w:tcW w:w="4678" w:type="dxa"/>
          </w:tcPr>
          <w:p w:rsidR="00AC32ED" w:rsidRPr="00294F95" w:rsidRDefault="00AC32ED" w:rsidP="00CE3D32">
            <w:pPr>
              <w:tabs>
                <w:tab w:val="left" w:pos="720"/>
              </w:tabs>
            </w:pPr>
            <w:r w:rsidRPr="00B524F5">
              <w:t>PAKALPOJUMA SAŅĒMĒJS</w:t>
            </w:r>
          </w:p>
        </w:tc>
        <w:tc>
          <w:tcPr>
            <w:tcW w:w="4678" w:type="dxa"/>
          </w:tcPr>
          <w:p w:rsidR="00AC32ED" w:rsidRPr="00294F95" w:rsidRDefault="00AC32ED" w:rsidP="00CE3D32">
            <w:pPr>
              <w:tabs>
                <w:tab w:val="left" w:pos="720"/>
              </w:tabs>
              <w:ind w:right="451"/>
            </w:pPr>
            <w:r w:rsidRPr="00B524F5">
              <w:t>PAKALPOJUMA SNIEDZĒJS</w:t>
            </w:r>
          </w:p>
        </w:tc>
      </w:tr>
      <w:tr w:rsidR="00AC32ED" w:rsidRPr="00294F95" w:rsidTr="00CE3D32">
        <w:trPr>
          <w:trHeight w:val="270"/>
        </w:trPr>
        <w:tc>
          <w:tcPr>
            <w:tcW w:w="4678" w:type="dxa"/>
          </w:tcPr>
          <w:p w:rsidR="00AC32ED" w:rsidRPr="00B524F5" w:rsidRDefault="00AC32ED" w:rsidP="00CE3D32">
            <w:pPr>
              <w:tabs>
                <w:tab w:val="left" w:pos="720"/>
              </w:tabs>
            </w:pPr>
            <w:r w:rsidRPr="0050684F">
              <w:rPr>
                <w:b/>
              </w:rPr>
              <w:t>Rēzeknes novada pašvaldība</w:t>
            </w:r>
          </w:p>
        </w:tc>
        <w:tc>
          <w:tcPr>
            <w:tcW w:w="4678" w:type="dxa"/>
          </w:tcPr>
          <w:p w:rsidR="00AC32ED" w:rsidRPr="00773A51" w:rsidRDefault="00773A51" w:rsidP="00CE3D32">
            <w:pPr>
              <w:tabs>
                <w:tab w:val="right" w:leader="dot" w:pos="4570"/>
              </w:tabs>
              <w:ind w:left="34" w:right="-108"/>
              <w:jc w:val="both"/>
              <w:rPr>
                <w:b/>
              </w:rPr>
            </w:pPr>
            <w:r w:rsidRPr="00773A51">
              <w:rPr>
                <w:b/>
              </w:rPr>
              <w:t xml:space="preserve">SIA “ZZ </w:t>
            </w:r>
            <w:proofErr w:type="spellStart"/>
            <w:r w:rsidRPr="00773A51">
              <w:rPr>
                <w:b/>
              </w:rPr>
              <w:t>Dats</w:t>
            </w:r>
            <w:proofErr w:type="spellEnd"/>
            <w:r w:rsidRPr="00773A51">
              <w:rPr>
                <w:b/>
              </w:rPr>
              <w:t>”</w:t>
            </w:r>
          </w:p>
        </w:tc>
      </w:tr>
      <w:tr w:rsidR="00AC32ED" w:rsidRPr="00294F95" w:rsidTr="00CE3D32">
        <w:trPr>
          <w:trHeight w:val="225"/>
        </w:trPr>
        <w:tc>
          <w:tcPr>
            <w:tcW w:w="4678" w:type="dxa"/>
          </w:tcPr>
          <w:p w:rsidR="00AC32ED" w:rsidRPr="0050684F" w:rsidRDefault="00AC32ED" w:rsidP="00CE3D32">
            <w:pPr>
              <w:tabs>
                <w:tab w:val="left" w:pos="720"/>
              </w:tabs>
              <w:rPr>
                <w:b/>
              </w:rPr>
            </w:pPr>
            <w:r w:rsidRPr="00294F95">
              <w:rPr>
                <w:lang w:eastAsia="lv-LV"/>
              </w:rPr>
              <w:t>reģ.</w:t>
            </w:r>
            <w:r>
              <w:rPr>
                <w:lang w:eastAsia="lv-LV"/>
              </w:rPr>
              <w:t>N</w:t>
            </w:r>
            <w:r w:rsidRPr="00294F95">
              <w:rPr>
                <w:lang w:eastAsia="lv-LV"/>
              </w:rPr>
              <w:t>r.90009112679</w:t>
            </w:r>
          </w:p>
        </w:tc>
        <w:tc>
          <w:tcPr>
            <w:tcW w:w="4678" w:type="dxa"/>
          </w:tcPr>
          <w:p w:rsidR="00AC32ED" w:rsidRDefault="00AC32ED" w:rsidP="00CE3D32">
            <w:pPr>
              <w:tabs>
                <w:tab w:val="right" w:leader="dot" w:pos="4570"/>
              </w:tabs>
              <w:ind w:left="34"/>
              <w:jc w:val="both"/>
            </w:pPr>
            <w:r>
              <w:t>reģ.Nr.</w:t>
            </w:r>
            <w:r w:rsidR="00773A51">
              <w:t>40003278467</w:t>
            </w:r>
            <w:r>
              <w:t xml:space="preserve"> </w:t>
            </w:r>
          </w:p>
        </w:tc>
      </w:tr>
      <w:tr w:rsidR="00AC32ED" w:rsidRPr="00294F95" w:rsidTr="00CE3D32">
        <w:trPr>
          <w:trHeight w:val="285"/>
        </w:trPr>
        <w:tc>
          <w:tcPr>
            <w:tcW w:w="4678" w:type="dxa"/>
          </w:tcPr>
          <w:p w:rsidR="00AC32ED" w:rsidRPr="00294F95" w:rsidRDefault="00AC32ED" w:rsidP="00CE3D32">
            <w:pPr>
              <w:tabs>
                <w:tab w:val="left" w:pos="720"/>
              </w:tabs>
              <w:rPr>
                <w:lang w:eastAsia="lv-LV"/>
              </w:rPr>
            </w:pPr>
          </w:p>
        </w:tc>
        <w:tc>
          <w:tcPr>
            <w:tcW w:w="4678" w:type="dxa"/>
          </w:tcPr>
          <w:p w:rsidR="00AC32ED" w:rsidRDefault="00AC32ED" w:rsidP="00CE3D32">
            <w:pPr>
              <w:tabs>
                <w:tab w:val="right" w:leader="dot" w:pos="4570"/>
              </w:tabs>
              <w:ind w:right="-108"/>
              <w:jc w:val="both"/>
            </w:pPr>
          </w:p>
        </w:tc>
      </w:tr>
      <w:tr w:rsidR="00AC32ED" w:rsidRPr="00294F95" w:rsidTr="00CE3D32">
        <w:trPr>
          <w:trHeight w:val="297"/>
        </w:trPr>
        <w:tc>
          <w:tcPr>
            <w:tcW w:w="4678" w:type="dxa"/>
          </w:tcPr>
          <w:p w:rsidR="00AC32ED" w:rsidRDefault="00AC32ED" w:rsidP="00CE3D32">
            <w:pPr>
              <w:tabs>
                <w:tab w:val="left" w:pos="720"/>
              </w:tabs>
              <w:rPr>
                <w:lang w:eastAsia="lv-LV"/>
              </w:rPr>
            </w:pPr>
          </w:p>
        </w:tc>
        <w:tc>
          <w:tcPr>
            <w:tcW w:w="4678" w:type="dxa"/>
          </w:tcPr>
          <w:p w:rsidR="00AC32ED" w:rsidRDefault="00AC32ED" w:rsidP="00CE3D32">
            <w:pPr>
              <w:tabs>
                <w:tab w:val="right" w:leader="dot" w:pos="4570"/>
              </w:tabs>
              <w:ind w:left="34" w:right="-108"/>
            </w:pPr>
          </w:p>
        </w:tc>
      </w:tr>
      <w:tr w:rsidR="00AC32ED" w:rsidRPr="00294F95" w:rsidTr="00CE3D32">
        <w:trPr>
          <w:trHeight w:val="201"/>
        </w:trPr>
        <w:tc>
          <w:tcPr>
            <w:tcW w:w="4678" w:type="dxa"/>
          </w:tcPr>
          <w:p w:rsidR="00AC32ED" w:rsidRPr="00294F95" w:rsidRDefault="00AC32ED" w:rsidP="00CE3D32">
            <w:pPr>
              <w:tabs>
                <w:tab w:val="left" w:pos="720"/>
              </w:tabs>
              <w:rPr>
                <w:lang w:eastAsia="lv-LV"/>
              </w:rPr>
            </w:pPr>
          </w:p>
        </w:tc>
        <w:tc>
          <w:tcPr>
            <w:tcW w:w="4678" w:type="dxa"/>
          </w:tcPr>
          <w:p w:rsidR="00AC32ED" w:rsidRDefault="00AC32ED" w:rsidP="00CE3D32">
            <w:pPr>
              <w:tabs>
                <w:tab w:val="right" w:leader="dot" w:pos="4570"/>
              </w:tabs>
              <w:ind w:left="34" w:right="-108"/>
              <w:jc w:val="both"/>
            </w:pPr>
          </w:p>
        </w:tc>
      </w:tr>
      <w:tr w:rsidR="00AC32ED" w:rsidRPr="00294F95" w:rsidTr="00CE3D32">
        <w:trPr>
          <w:trHeight w:val="255"/>
        </w:trPr>
        <w:tc>
          <w:tcPr>
            <w:tcW w:w="4678" w:type="dxa"/>
          </w:tcPr>
          <w:p w:rsidR="00AC32ED" w:rsidRPr="00294F95" w:rsidRDefault="00AC32ED" w:rsidP="00CE3D32">
            <w:pPr>
              <w:tabs>
                <w:tab w:val="left" w:pos="720"/>
              </w:tabs>
              <w:rPr>
                <w:lang w:eastAsia="lv-LV"/>
              </w:rPr>
            </w:pPr>
          </w:p>
        </w:tc>
        <w:tc>
          <w:tcPr>
            <w:tcW w:w="4678" w:type="dxa"/>
          </w:tcPr>
          <w:p w:rsidR="00AC32ED" w:rsidRDefault="00AC32ED" w:rsidP="00CE3D32">
            <w:pPr>
              <w:tabs>
                <w:tab w:val="left" w:pos="720"/>
                <w:tab w:val="right" w:leader="dot" w:pos="4570"/>
              </w:tabs>
              <w:ind w:right="-108"/>
              <w:jc w:val="both"/>
            </w:pPr>
          </w:p>
        </w:tc>
      </w:tr>
      <w:tr w:rsidR="00AC32ED" w:rsidRPr="00294F95" w:rsidTr="00CE3D32">
        <w:trPr>
          <w:trHeight w:val="225"/>
        </w:trPr>
        <w:tc>
          <w:tcPr>
            <w:tcW w:w="4678" w:type="dxa"/>
          </w:tcPr>
          <w:p w:rsidR="00AC32ED" w:rsidRPr="00294F95" w:rsidRDefault="00AC32ED" w:rsidP="00CE3D32">
            <w:pPr>
              <w:tabs>
                <w:tab w:val="left" w:pos="720"/>
              </w:tabs>
              <w:rPr>
                <w:lang w:eastAsia="lv-LV"/>
              </w:rPr>
            </w:pPr>
          </w:p>
        </w:tc>
        <w:tc>
          <w:tcPr>
            <w:tcW w:w="4678" w:type="dxa"/>
          </w:tcPr>
          <w:p w:rsidR="00AC32ED" w:rsidRDefault="00AC32ED" w:rsidP="00CE3D32">
            <w:pPr>
              <w:tabs>
                <w:tab w:val="left" w:pos="720"/>
              </w:tabs>
              <w:ind w:left="34" w:right="-108"/>
              <w:jc w:val="both"/>
            </w:pPr>
          </w:p>
        </w:tc>
      </w:tr>
      <w:tr w:rsidR="00AC32ED" w:rsidRPr="00294F95" w:rsidTr="00CE3D32">
        <w:trPr>
          <w:trHeight w:val="285"/>
        </w:trPr>
        <w:tc>
          <w:tcPr>
            <w:tcW w:w="4678" w:type="dxa"/>
          </w:tcPr>
          <w:p w:rsidR="00AC32ED" w:rsidRDefault="00AC32ED" w:rsidP="00CE3D32">
            <w:pPr>
              <w:tabs>
                <w:tab w:val="left" w:pos="720"/>
              </w:tabs>
              <w:rPr>
                <w:lang w:eastAsia="lv-LV"/>
              </w:rPr>
            </w:pPr>
          </w:p>
        </w:tc>
        <w:tc>
          <w:tcPr>
            <w:tcW w:w="4678" w:type="dxa"/>
          </w:tcPr>
          <w:p w:rsidR="00AC32ED" w:rsidRDefault="00AC32ED" w:rsidP="00CE3D32">
            <w:pPr>
              <w:tabs>
                <w:tab w:val="left" w:pos="720"/>
              </w:tabs>
              <w:ind w:right="-108"/>
              <w:jc w:val="both"/>
            </w:pPr>
          </w:p>
        </w:tc>
      </w:tr>
      <w:tr w:rsidR="00AC32ED" w:rsidRPr="00294F95" w:rsidTr="00CE3D32">
        <w:trPr>
          <w:trHeight w:val="360"/>
        </w:trPr>
        <w:tc>
          <w:tcPr>
            <w:tcW w:w="4678" w:type="dxa"/>
          </w:tcPr>
          <w:p w:rsidR="00AC32ED" w:rsidRDefault="00AC32ED" w:rsidP="00CE3D32">
            <w:pPr>
              <w:tabs>
                <w:tab w:val="left" w:pos="720"/>
              </w:tabs>
              <w:rPr>
                <w:lang w:eastAsia="lv-LV"/>
              </w:rPr>
            </w:pPr>
          </w:p>
        </w:tc>
        <w:tc>
          <w:tcPr>
            <w:tcW w:w="4678" w:type="dxa"/>
          </w:tcPr>
          <w:p w:rsidR="00AC32ED" w:rsidRDefault="00AC32ED" w:rsidP="00CE3D32">
            <w:pPr>
              <w:tabs>
                <w:tab w:val="left" w:pos="720"/>
              </w:tabs>
              <w:ind w:right="-108"/>
              <w:jc w:val="both"/>
            </w:pPr>
          </w:p>
        </w:tc>
      </w:tr>
      <w:tr w:rsidR="00AC32ED" w:rsidRPr="00294F95" w:rsidTr="00CE3D32">
        <w:trPr>
          <w:trHeight w:val="360"/>
        </w:trPr>
        <w:tc>
          <w:tcPr>
            <w:tcW w:w="4678" w:type="dxa"/>
          </w:tcPr>
          <w:p w:rsidR="00AC32ED" w:rsidRDefault="00AC32ED" w:rsidP="00CE3D32">
            <w:pPr>
              <w:tabs>
                <w:tab w:val="left" w:pos="720"/>
              </w:tabs>
              <w:rPr>
                <w:lang w:eastAsia="lv-LV"/>
              </w:rPr>
            </w:pPr>
          </w:p>
        </w:tc>
        <w:tc>
          <w:tcPr>
            <w:tcW w:w="4678" w:type="dxa"/>
          </w:tcPr>
          <w:p w:rsidR="00AC32ED" w:rsidRDefault="00AC32ED" w:rsidP="00773A51">
            <w:pPr>
              <w:ind w:left="2624" w:hanging="2552"/>
              <w:jc w:val="both"/>
            </w:pPr>
          </w:p>
        </w:tc>
      </w:tr>
    </w:tbl>
    <w:p w:rsidR="00AC32ED" w:rsidRDefault="00AC32ED" w:rsidP="00AC32ED">
      <w:pPr>
        <w:jc w:val="right"/>
        <w:outlineLvl w:val="0"/>
      </w:pPr>
      <w:r>
        <w:t xml:space="preserve"> </w:t>
      </w:r>
    </w:p>
    <w:p w:rsidR="00AC32ED" w:rsidRDefault="00AC32ED" w:rsidP="00AC32ED">
      <w:pPr>
        <w:tabs>
          <w:tab w:val="left" w:pos="7410"/>
        </w:tabs>
        <w:ind w:right="-609"/>
      </w:pPr>
      <w:r>
        <w:tab/>
      </w:r>
    </w:p>
    <w:p w:rsidR="00AC32ED" w:rsidRPr="008312EC" w:rsidRDefault="00AC32ED" w:rsidP="00AC32ED">
      <w:pPr>
        <w:jc w:val="center"/>
        <w:rPr>
          <w:b/>
          <w:lang w:eastAsia="en-US"/>
        </w:rPr>
      </w:pPr>
    </w:p>
    <w:p w:rsidR="00C34545" w:rsidRDefault="00C34545"/>
    <w:p w:rsidR="0033372B" w:rsidRDefault="0033372B"/>
    <w:p w:rsidR="0033372B" w:rsidRDefault="0033372B"/>
    <w:p w:rsidR="0033372B" w:rsidRDefault="0033372B"/>
    <w:p w:rsidR="0033372B" w:rsidRDefault="0033372B"/>
    <w:p w:rsidR="0033372B" w:rsidRDefault="0033372B"/>
    <w:p w:rsidR="0033372B" w:rsidRDefault="0033372B"/>
    <w:p w:rsidR="00C224E3" w:rsidRDefault="00C224E3" w:rsidP="0033372B">
      <w:pPr>
        <w:pStyle w:val="Title"/>
        <w:spacing w:before="120" w:after="120"/>
        <w:ind w:left="601"/>
        <w:jc w:val="right"/>
        <w:rPr>
          <w:i/>
          <w:color w:val="000000"/>
          <w:u w:val="single"/>
          <w:lang w:val="lv-LV"/>
        </w:rPr>
      </w:pPr>
      <w:bookmarkStart w:id="0" w:name="_GoBack"/>
      <w:bookmarkEnd w:id="0"/>
    </w:p>
    <w:sectPr w:rsidR="00C224E3">
      <w:footerReference w:type="even" r:id="rId13"/>
      <w:footerReference w:type="default" r:id="rId14"/>
      <w:footnotePr>
        <w:pos w:val="beneathText"/>
      </w:footnotePr>
      <w:pgSz w:w="11905" w:h="16837" w:code="9"/>
      <w:pgMar w:top="993"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1DB" w:rsidRDefault="00A961DB" w:rsidP="0033372B">
      <w:r>
        <w:separator/>
      </w:r>
    </w:p>
  </w:endnote>
  <w:endnote w:type="continuationSeparator" w:id="0">
    <w:p w:rsidR="00A961DB" w:rsidRDefault="00A961DB" w:rsidP="0033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D32" w:rsidRDefault="00CE3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3D32" w:rsidRDefault="00CE3D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D32" w:rsidRDefault="00CE3D3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97323">
      <w:rPr>
        <w:rStyle w:val="PageNumber"/>
        <w:noProof/>
      </w:rPr>
      <w:t>4</w:t>
    </w:r>
    <w:r>
      <w:rPr>
        <w:rStyle w:val="PageNumber"/>
      </w:rPr>
      <w:fldChar w:fldCharType="end"/>
    </w:r>
  </w:p>
  <w:p w:rsidR="00CE3D32" w:rsidRDefault="00CE3D32">
    <w:pPr>
      <w:pStyle w:val="Footer"/>
      <w:framePr w:wrap="around" w:vAnchor="text" w:hAnchor="page" w:x="5870" w:y="-59"/>
      <w:jc w:val="center"/>
      <w:rPr>
        <w:rStyle w:val="PageNumber"/>
      </w:rPr>
    </w:pPr>
  </w:p>
  <w:p w:rsidR="00CE3D32" w:rsidRDefault="00CE3D32">
    <w:pPr>
      <w:pStyle w:val="Footer"/>
      <w:framePr w:wrap="around" w:vAnchor="text" w:hAnchor="margin" w:xAlign="center"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1DB" w:rsidRDefault="00A961DB" w:rsidP="0033372B">
      <w:r>
        <w:separator/>
      </w:r>
    </w:p>
  </w:footnote>
  <w:footnote w:type="continuationSeparator" w:id="0">
    <w:p w:rsidR="00A961DB" w:rsidRDefault="00A961DB" w:rsidP="00333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6604F"/>
    <w:multiLevelType w:val="multilevel"/>
    <w:tmpl w:val="03DA1A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6CD5F54"/>
    <w:multiLevelType w:val="multilevel"/>
    <w:tmpl w:val="B96E440E"/>
    <w:lvl w:ilvl="0">
      <w:start w:val="8"/>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upperLetter"/>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63EB6F7A"/>
    <w:multiLevelType w:val="hybridMultilevel"/>
    <w:tmpl w:val="A51CB6A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15:restartNumberingAfterBreak="0">
    <w:nsid w:val="7A085543"/>
    <w:multiLevelType w:val="multilevel"/>
    <w:tmpl w:val="372028BE"/>
    <w:lvl w:ilvl="0">
      <w:start w:val="1"/>
      <w:numFmt w:val="decimal"/>
      <w:lvlText w:val="%1."/>
      <w:lvlJc w:val="left"/>
      <w:pPr>
        <w:ind w:left="312" w:hanging="360"/>
      </w:pPr>
      <w:rPr>
        <w:rFonts w:hint="default"/>
        <w:b/>
      </w:rPr>
    </w:lvl>
    <w:lvl w:ilvl="1">
      <w:start w:val="1"/>
      <w:numFmt w:val="decimal"/>
      <w:isLgl/>
      <w:lvlText w:val="%1.%2."/>
      <w:lvlJc w:val="left"/>
      <w:pPr>
        <w:ind w:left="447" w:hanging="495"/>
      </w:pPr>
      <w:rPr>
        <w:rFonts w:hint="default"/>
      </w:rPr>
    </w:lvl>
    <w:lvl w:ilvl="2">
      <w:start w:val="1"/>
      <w:numFmt w:val="decimal"/>
      <w:isLgl/>
      <w:lvlText w:val="%1.%2.%3."/>
      <w:lvlJc w:val="left"/>
      <w:pPr>
        <w:ind w:left="672" w:hanging="720"/>
      </w:pPr>
      <w:rPr>
        <w:rFonts w:hint="default"/>
      </w:rPr>
    </w:lvl>
    <w:lvl w:ilvl="3">
      <w:start w:val="1"/>
      <w:numFmt w:val="decimal"/>
      <w:isLgl/>
      <w:lvlText w:val="%1.%2.%3.%4."/>
      <w:lvlJc w:val="left"/>
      <w:pPr>
        <w:ind w:left="672" w:hanging="720"/>
      </w:pPr>
      <w:rPr>
        <w:rFonts w:hint="default"/>
      </w:rPr>
    </w:lvl>
    <w:lvl w:ilvl="4">
      <w:start w:val="1"/>
      <w:numFmt w:val="decimal"/>
      <w:isLgl/>
      <w:lvlText w:val="%1.%2.%3.%4.%5."/>
      <w:lvlJc w:val="left"/>
      <w:pPr>
        <w:ind w:left="1032" w:hanging="1080"/>
      </w:pPr>
      <w:rPr>
        <w:rFonts w:hint="default"/>
      </w:rPr>
    </w:lvl>
    <w:lvl w:ilvl="5">
      <w:start w:val="1"/>
      <w:numFmt w:val="decimal"/>
      <w:isLgl/>
      <w:lvlText w:val="%1.%2.%3.%4.%5.%6."/>
      <w:lvlJc w:val="left"/>
      <w:pPr>
        <w:ind w:left="1032" w:hanging="1080"/>
      </w:pPr>
      <w:rPr>
        <w:rFonts w:hint="default"/>
      </w:rPr>
    </w:lvl>
    <w:lvl w:ilvl="6">
      <w:start w:val="1"/>
      <w:numFmt w:val="decimal"/>
      <w:isLgl/>
      <w:lvlText w:val="%1.%2.%3.%4.%5.%6.%7."/>
      <w:lvlJc w:val="left"/>
      <w:pPr>
        <w:ind w:left="1392" w:hanging="1440"/>
      </w:pPr>
      <w:rPr>
        <w:rFonts w:hint="default"/>
      </w:rPr>
    </w:lvl>
    <w:lvl w:ilvl="7">
      <w:start w:val="1"/>
      <w:numFmt w:val="decimal"/>
      <w:isLgl/>
      <w:lvlText w:val="%1.%2.%3.%4.%5.%6.%7.%8."/>
      <w:lvlJc w:val="left"/>
      <w:pPr>
        <w:ind w:left="1392" w:hanging="1440"/>
      </w:pPr>
      <w:rPr>
        <w:rFonts w:hint="default"/>
      </w:rPr>
    </w:lvl>
    <w:lvl w:ilvl="8">
      <w:start w:val="1"/>
      <w:numFmt w:val="decimal"/>
      <w:isLgl/>
      <w:lvlText w:val="%1.%2.%3.%4.%5.%6.%7.%8.%9."/>
      <w:lvlJc w:val="left"/>
      <w:pPr>
        <w:ind w:left="1752"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ED"/>
    <w:rsid w:val="00064350"/>
    <w:rsid w:val="002C2C27"/>
    <w:rsid w:val="00307F8D"/>
    <w:rsid w:val="0033372B"/>
    <w:rsid w:val="00397323"/>
    <w:rsid w:val="004F1ACB"/>
    <w:rsid w:val="006119ED"/>
    <w:rsid w:val="006C4A4A"/>
    <w:rsid w:val="00773A51"/>
    <w:rsid w:val="00786531"/>
    <w:rsid w:val="009D22DC"/>
    <w:rsid w:val="00A71A9A"/>
    <w:rsid w:val="00A961DB"/>
    <w:rsid w:val="00AC32ED"/>
    <w:rsid w:val="00B11509"/>
    <w:rsid w:val="00C224E3"/>
    <w:rsid w:val="00C34545"/>
    <w:rsid w:val="00CD173B"/>
    <w:rsid w:val="00CD1B1F"/>
    <w:rsid w:val="00CE3D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A92D"/>
  <w15:chartTrackingRefBased/>
  <w15:docId w15:val="{EE5CC101-160D-460B-9D10-20818E87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2E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32ED"/>
    <w:rPr>
      <w:color w:val="0000FF"/>
      <w:u w:val="single"/>
    </w:rPr>
  </w:style>
  <w:style w:type="character" w:styleId="PageNumber">
    <w:name w:val="page number"/>
    <w:basedOn w:val="DefaultParagraphFont"/>
    <w:rsid w:val="00AC32ED"/>
  </w:style>
  <w:style w:type="paragraph" w:styleId="BodyText">
    <w:name w:val="Body Text"/>
    <w:aliases w:val="Body Text1"/>
    <w:basedOn w:val="Normal"/>
    <w:link w:val="BodyTextChar"/>
    <w:rsid w:val="00AC32ED"/>
    <w:pPr>
      <w:overflowPunct w:val="0"/>
      <w:autoSpaceDE w:val="0"/>
      <w:jc w:val="both"/>
      <w:textAlignment w:val="baseline"/>
    </w:pPr>
    <w:rPr>
      <w:szCs w:val="20"/>
    </w:rPr>
  </w:style>
  <w:style w:type="character" w:customStyle="1" w:styleId="BodyTextChar">
    <w:name w:val="Body Text Char"/>
    <w:aliases w:val="Body Text1 Char"/>
    <w:basedOn w:val="DefaultParagraphFont"/>
    <w:link w:val="BodyText"/>
    <w:rsid w:val="00AC32ED"/>
    <w:rPr>
      <w:rFonts w:ascii="Times New Roman" w:eastAsia="Times New Roman" w:hAnsi="Times New Roman" w:cs="Times New Roman"/>
      <w:sz w:val="24"/>
      <w:szCs w:val="20"/>
      <w:lang w:eastAsia="ar-SA"/>
    </w:rPr>
  </w:style>
  <w:style w:type="paragraph" w:styleId="BodyTextIndent2">
    <w:name w:val="Body Text Indent 2"/>
    <w:basedOn w:val="Normal"/>
    <w:link w:val="BodyTextIndent2Char"/>
    <w:rsid w:val="00AC32ED"/>
    <w:pPr>
      <w:spacing w:after="120" w:line="480" w:lineRule="auto"/>
      <w:ind w:left="283"/>
    </w:pPr>
  </w:style>
  <w:style w:type="character" w:customStyle="1" w:styleId="BodyTextIndent2Char">
    <w:name w:val="Body Text Indent 2 Char"/>
    <w:basedOn w:val="DefaultParagraphFont"/>
    <w:link w:val="BodyTextIndent2"/>
    <w:rsid w:val="00AC32ED"/>
    <w:rPr>
      <w:rFonts w:ascii="Times New Roman" w:eastAsia="Times New Roman" w:hAnsi="Times New Roman" w:cs="Times New Roman"/>
      <w:sz w:val="24"/>
      <w:szCs w:val="24"/>
      <w:lang w:eastAsia="ar-SA"/>
    </w:rPr>
  </w:style>
  <w:style w:type="paragraph" w:styleId="Header">
    <w:name w:val="header"/>
    <w:basedOn w:val="Normal"/>
    <w:link w:val="HeaderChar"/>
    <w:rsid w:val="00AC32ED"/>
    <w:pPr>
      <w:tabs>
        <w:tab w:val="center" w:pos="4153"/>
        <w:tab w:val="right" w:pos="8306"/>
      </w:tabs>
    </w:pPr>
  </w:style>
  <w:style w:type="character" w:customStyle="1" w:styleId="HeaderChar">
    <w:name w:val="Header Char"/>
    <w:basedOn w:val="DefaultParagraphFont"/>
    <w:link w:val="Header"/>
    <w:rsid w:val="00AC32ED"/>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AC32ED"/>
    <w:pPr>
      <w:ind w:firstLine="540"/>
      <w:jc w:val="both"/>
    </w:pPr>
    <w:rPr>
      <w:sz w:val="28"/>
    </w:rPr>
  </w:style>
  <w:style w:type="character" w:customStyle="1" w:styleId="BodyTextIndentChar">
    <w:name w:val="Body Text Indent Char"/>
    <w:basedOn w:val="DefaultParagraphFont"/>
    <w:link w:val="BodyTextIndent"/>
    <w:rsid w:val="00AC32ED"/>
    <w:rPr>
      <w:rFonts w:ascii="Times New Roman" w:eastAsia="Times New Roman" w:hAnsi="Times New Roman" w:cs="Times New Roman"/>
      <w:sz w:val="28"/>
      <w:szCs w:val="24"/>
      <w:lang w:eastAsia="ar-SA"/>
    </w:rPr>
  </w:style>
  <w:style w:type="paragraph" w:styleId="BodyTextIndent3">
    <w:name w:val="Body Text Indent 3"/>
    <w:basedOn w:val="Normal"/>
    <w:link w:val="BodyTextIndent3Char"/>
    <w:rsid w:val="00AC32ED"/>
    <w:pPr>
      <w:keepNext/>
      <w:ind w:left="425" w:hanging="425"/>
      <w:jc w:val="right"/>
    </w:pPr>
    <w:rPr>
      <w:sz w:val="20"/>
    </w:rPr>
  </w:style>
  <w:style w:type="character" w:customStyle="1" w:styleId="BodyTextIndent3Char">
    <w:name w:val="Body Text Indent 3 Char"/>
    <w:basedOn w:val="DefaultParagraphFont"/>
    <w:link w:val="BodyTextIndent3"/>
    <w:rsid w:val="00AC32ED"/>
    <w:rPr>
      <w:rFonts w:ascii="Times New Roman" w:eastAsia="Times New Roman" w:hAnsi="Times New Roman" w:cs="Times New Roman"/>
      <w:sz w:val="20"/>
      <w:szCs w:val="24"/>
      <w:lang w:eastAsia="ar-SA"/>
    </w:rPr>
  </w:style>
  <w:style w:type="paragraph" w:styleId="Footer">
    <w:name w:val="footer"/>
    <w:basedOn w:val="Normal"/>
    <w:link w:val="FooterChar"/>
    <w:rsid w:val="00AC32ED"/>
    <w:pPr>
      <w:tabs>
        <w:tab w:val="center" w:pos="4844"/>
        <w:tab w:val="right" w:pos="9689"/>
      </w:tabs>
    </w:pPr>
  </w:style>
  <w:style w:type="character" w:customStyle="1" w:styleId="FooterChar">
    <w:name w:val="Footer Char"/>
    <w:basedOn w:val="DefaultParagraphFont"/>
    <w:link w:val="Footer"/>
    <w:rsid w:val="00AC32ED"/>
    <w:rPr>
      <w:rFonts w:ascii="Times New Roman" w:eastAsia="Times New Roman" w:hAnsi="Times New Roman" w:cs="Times New Roman"/>
      <w:sz w:val="24"/>
      <w:szCs w:val="24"/>
      <w:lang w:eastAsia="ar-SA"/>
    </w:rPr>
  </w:style>
  <w:style w:type="character" w:styleId="UnresolvedMention">
    <w:name w:val="Unresolved Mention"/>
    <w:basedOn w:val="DefaultParagraphFont"/>
    <w:uiPriority w:val="99"/>
    <w:semiHidden/>
    <w:unhideWhenUsed/>
    <w:rsid w:val="00773A51"/>
    <w:rPr>
      <w:color w:val="808080"/>
      <w:shd w:val="clear" w:color="auto" w:fill="E6E6E6"/>
    </w:rPr>
  </w:style>
  <w:style w:type="paragraph" w:styleId="BodyText2">
    <w:name w:val="Body Text 2"/>
    <w:basedOn w:val="Normal"/>
    <w:link w:val="BodyText2Char"/>
    <w:uiPriority w:val="99"/>
    <w:semiHidden/>
    <w:unhideWhenUsed/>
    <w:rsid w:val="0033372B"/>
    <w:pPr>
      <w:spacing w:after="120" w:line="480" w:lineRule="auto"/>
    </w:pPr>
  </w:style>
  <w:style w:type="character" w:customStyle="1" w:styleId="BodyText2Char">
    <w:name w:val="Body Text 2 Char"/>
    <w:basedOn w:val="DefaultParagraphFont"/>
    <w:link w:val="BodyText2"/>
    <w:uiPriority w:val="99"/>
    <w:semiHidden/>
    <w:rsid w:val="0033372B"/>
    <w:rPr>
      <w:rFonts w:ascii="Times New Roman" w:eastAsia="Times New Roman" w:hAnsi="Times New Roman" w:cs="Times New Roman"/>
      <w:sz w:val="24"/>
      <w:szCs w:val="24"/>
      <w:lang w:eastAsia="ar-SA"/>
    </w:rPr>
  </w:style>
  <w:style w:type="paragraph" w:customStyle="1" w:styleId="a">
    <w:name w:val="Заголовок таблицы"/>
    <w:basedOn w:val="Normal"/>
    <w:rsid w:val="0033372B"/>
    <w:pPr>
      <w:suppressLineNumbers/>
      <w:jc w:val="center"/>
    </w:pPr>
    <w:rPr>
      <w:b/>
      <w:bCs/>
    </w:rPr>
  </w:style>
  <w:style w:type="paragraph" w:styleId="Title">
    <w:name w:val="Title"/>
    <w:basedOn w:val="Normal"/>
    <w:link w:val="TitleChar"/>
    <w:qFormat/>
    <w:rsid w:val="0033372B"/>
    <w:pPr>
      <w:suppressAutoHyphens w:val="0"/>
      <w:autoSpaceDE w:val="0"/>
      <w:autoSpaceDN w:val="0"/>
      <w:adjustRightInd w:val="0"/>
      <w:jc w:val="center"/>
    </w:pPr>
    <w:rPr>
      <w:b/>
      <w:bCs/>
      <w:szCs w:val="20"/>
      <w:lang w:val="en-US" w:eastAsia="en-US"/>
    </w:rPr>
  </w:style>
  <w:style w:type="character" w:customStyle="1" w:styleId="TitleChar">
    <w:name w:val="Title Char"/>
    <w:basedOn w:val="DefaultParagraphFont"/>
    <w:link w:val="Title"/>
    <w:rsid w:val="0033372B"/>
    <w:rPr>
      <w:rFonts w:ascii="Times New Roman" w:eastAsia="Times New Roman" w:hAnsi="Times New Roman" w:cs="Times New Roman"/>
      <w:b/>
      <w:bCs/>
      <w:sz w:val="24"/>
      <w:szCs w:val="20"/>
      <w:lang w:val="en-US"/>
    </w:rPr>
  </w:style>
  <w:style w:type="paragraph" w:styleId="Caption">
    <w:name w:val="caption"/>
    <w:basedOn w:val="Normal"/>
    <w:next w:val="Normal"/>
    <w:qFormat/>
    <w:rsid w:val="0033372B"/>
    <w:pPr>
      <w:suppressAutoHyphens w:val="0"/>
      <w:jc w:val="center"/>
    </w:pPr>
    <w:rPr>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zdats.lv" TargetMode="External"/><Relationship Id="rId12" Type="http://schemas.openxmlformats.org/officeDocument/2006/relationships/hyperlink" Target="http://www.epakalpojumi.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zdat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zdats.lv" TargetMode="External"/><Relationship Id="rId4" Type="http://schemas.openxmlformats.org/officeDocument/2006/relationships/webSettings" Target="webSettings.xml"/><Relationship Id="rId9" Type="http://schemas.openxmlformats.org/officeDocument/2006/relationships/hyperlink" Target="http://www.epakalpojum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8333</Words>
  <Characters>4750</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3</cp:revision>
  <dcterms:created xsi:type="dcterms:W3CDTF">2018-01-23T14:16:00Z</dcterms:created>
  <dcterms:modified xsi:type="dcterms:W3CDTF">2018-01-23T14:22:00Z</dcterms:modified>
</cp:coreProperties>
</file>