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B8A" w:rsidRDefault="00CF3B8A" w:rsidP="00185CF8">
      <w:pPr>
        <w:ind w:right="-1050"/>
        <w:jc w:val="center"/>
        <w:rPr>
          <w:b/>
        </w:rPr>
      </w:pPr>
      <w:r>
        <w:rPr>
          <w:b/>
        </w:rPr>
        <w:t xml:space="preserve">Līgums Nr. </w:t>
      </w:r>
      <w:r w:rsidR="005524C1">
        <w:rPr>
          <w:b/>
        </w:rPr>
        <w:t>8.4/163</w:t>
      </w:r>
    </w:p>
    <w:tbl>
      <w:tblPr>
        <w:tblW w:w="10173" w:type="dxa"/>
        <w:tblLook w:val="01E0" w:firstRow="1" w:lastRow="1" w:firstColumn="1" w:lastColumn="1" w:noHBand="0" w:noVBand="0"/>
      </w:tblPr>
      <w:tblGrid>
        <w:gridCol w:w="3697"/>
        <w:gridCol w:w="6476"/>
      </w:tblGrid>
      <w:tr w:rsidR="00CF3B8A" w:rsidTr="00CF3B8A">
        <w:trPr>
          <w:trHeight w:val="414"/>
        </w:trPr>
        <w:tc>
          <w:tcPr>
            <w:tcW w:w="3697" w:type="dxa"/>
            <w:hideMark/>
          </w:tcPr>
          <w:p w:rsidR="00CF3B8A" w:rsidRDefault="00CF3B8A" w:rsidP="00185CF8">
            <w:pPr>
              <w:spacing w:after="120"/>
              <w:ind w:hanging="105"/>
            </w:pPr>
            <w:r>
              <w:t xml:space="preserve">Rēzeknē                                           </w:t>
            </w:r>
          </w:p>
        </w:tc>
        <w:tc>
          <w:tcPr>
            <w:tcW w:w="6476" w:type="dxa"/>
            <w:hideMark/>
          </w:tcPr>
          <w:p w:rsidR="00CF3B8A" w:rsidRDefault="00CF3B8A" w:rsidP="00185CF8">
            <w:pPr>
              <w:tabs>
                <w:tab w:val="left" w:pos="5688"/>
              </w:tabs>
              <w:spacing w:after="120"/>
              <w:ind w:left="720" w:right="567" w:hanging="720"/>
            </w:pPr>
            <w:r>
              <w:t xml:space="preserve">                                          </w:t>
            </w:r>
            <w:r w:rsidR="00185CF8">
              <w:t xml:space="preserve">           </w:t>
            </w:r>
            <w:r>
              <w:t xml:space="preserve">2018.gada </w:t>
            </w:r>
            <w:r w:rsidR="005524C1">
              <w:t>19</w:t>
            </w:r>
            <w:r w:rsidR="00185CF8">
              <w:t>.februārī</w:t>
            </w:r>
          </w:p>
        </w:tc>
      </w:tr>
    </w:tbl>
    <w:p w:rsidR="00CF3B8A" w:rsidRDefault="00CF3B8A" w:rsidP="00185CF8">
      <w:pPr>
        <w:spacing w:after="120"/>
        <w:ind w:right="-1049"/>
        <w:jc w:val="both"/>
        <w:rPr>
          <w:color w:val="0D0D0D"/>
        </w:rPr>
      </w:pPr>
      <w:r>
        <w:rPr>
          <w:b/>
          <w:bCs/>
        </w:rPr>
        <w:t>Rēzeknes novada pašvaldība</w:t>
      </w:r>
      <w:r>
        <w:rPr>
          <w:bCs/>
        </w:rPr>
        <w:t>,</w:t>
      </w:r>
      <w:r>
        <w:t xml:space="preserve"> reģistrācijas Nr.9009112679, turpmāk – </w:t>
      </w:r>
      <w:r>
        <w:rPr>
          <w:b/>
          <w:bCs/>
          <w:iCs/>
        </w:rPr>
        <w:t>Pasūtītājs</w:t>
      </w:r>
      <w:r>
        <w:t xml:space="preserve">, no vienas puses, un </w:t>
      </w:r>
      <w:r w:rsidR="00185CF8" w:rsidRPr="00185CF8">
        <w:rPr>
          <w:b/>
        </w:rPr>
        <w:t>sabiedrība ar ierobežotu atbildību “Reģionālie projekti”</w:t>
      </w:r>
      <w:r>
        <w:rPr>
          <w:color w:val="0D0D0D"/>
        </w:rPr>
        <w:t>, reģistrācijas Nr.</w:t>
      </w:r>
      <w:r w:rsidR="00185CF8">
        <w:rPr>
          <w:color w:val="0D0D0D"/>
        </w:rPr>
        <w:t>40003404474</w:t>
      </w:r>
      <w:r>
        <w:rPr>
          <w:color w:val="0D0D0D"/>
        </w:rPr>
        <w:t xml:space="preserve">, turpmāk – </w:t>
      </w:r>
      <w:r>
        <w:rPr>
          <w:b/>
          <w:color w:val="0D0D0D"/>
        </w:rPr>
        <w:t>Izpildītājs</w:t>
      </w:r>
      <w:r>
        <w:rPr>
          <w:color w:val="0D0D0D"/>
        </w:rPr>
        <w:t>, no otras puses, pamatojoties uz iepirkuma</w:t>
      </w:r>
      <w:r>
        <w:t xml:space="preserve"> „Rēzeknes novada attīstības programmas 2019.-2025.gadam izstrāde” (identifikācijas Nr. RNP 2018/1), turpmāk – </w:t>
      </w:r>
      <w:r>
        <w:rPr>
          <w:b/>
        </w:rPr>
        <w:t>Iepirkums</w:t>
      </w:r>
      <w:r>
        <w:rPr>
          <w:color w:val="0D0D0D"/>
        </w:rPr>
        <w:t xml:space="preserve">, rezultātiem, noslēdz šādu līgumu, turpmāk – </w:t>
      </w:r>
      <w:r>
        <w:rPr>
          <w:b/>
          <w:color w:val="0D0D0D"/>
        </w:rPr>
        <w:t>Līgums</w:t>
      </w:r>
      <w:r>
        <w:rPr>
          <w:color w:val="0D0D0D"/>
        </w:rPr>
        <w:t>.</w:t>
      </w:r>
    </w:p>
    <w:p w:rsidR="00CF3B8A" w:rsidRDefault="00CF3B8A" w:rsidP="00185CF8">
      <w:pPr>
        <w:pStyle w:val="Sarakstarindkopa1"/>
        <w:widowControl/>
        <w:tabs>
          <w:tab w:val="left" w:pos="450"/>
        </w:tabs>
        <w:autoSpaceDE/>
        <w:adjustRightInd/>
        <w:ind w:left="0" w:right="-1050"/>
        <w:jc w:val="center"/>
        <w:rPr>
          <w:b/>
          <w:color w:val="0D0D0D"/>
          <w:sz w:val="24"/>
          <w:szCs w:val="24"/>
        </w:rPr>
      </w:pPr>
      <w:r>
        <w:rPr>
          <w:b/>
          <w:color w:val="0D0D0D"/>
          <w:sz w:val="24"/>
          <w:szCs w:val="24"/>
        </w:rPr>
        <w:t>1. Līguma priekšmets</w:t>
      </w:r>
    </w:p>
    <w:p w:rsidR="00CF3B8A" w:rsidRDefault="00CF3B8A" w:rsidP="00185CF8">
      <w:pPr>
        <w:numPr>
          <w:ilvl w:val="1"/>
          <w:numId w:val="2"/>
        </w:numPr>
        <w:ind w:left="0" w:right="-1050" w:firstLine="284"/>
        <w:jc w:val="both"/>
      </w:pPr>
      <w:r>
        <w:rPr>
          <w:color w:val="0D0D0D"/>
        </w:rPr>
        <w:t xml:space="preserve">Pasūtītājs uzdod, un </w:t>
      </w:r>
      <w:r>
        <w:rPr>
          <w:bCs/>
          <w:color w:val="0D0D0D"/>
        </w:rPr>
        <w:t>Izpildītāj</w:t>
      </w:r>
      <w:r>
        <w:rPr>
          <w:color w:val="0D0D0D"/>
        </w:rPr>
        <w:t xml:space="preserve">s apņemas ar saviem intelektuālajiem, materiālajiem un tehniskajiem līdzekļiem, ievērojot Līguma noteikumus un saskaņā ar </w:t>
      </w:r>
      <w:r>
        <w:t xml:space="preserve">Tehnisko specifikāciju (Līguma pielikums Nr.1), </w:t>
      </w:r>
      <w:r>
        <w:rPr>
          <w:color w:val="0D0D0D"/>
        </w:rPr>
        <w:t xml:space="preserve">Izpildītāja </w:t>
      </w:r>
      <w:r>
        <w:t xml:space="preserve">tehnisko piedāvājumu (Līguma pielikums Nr.2) un Izpildītāja finanšu piedāvājumu (Līguma pielikums Nr.3), </w:t>
      </w:r>
      <w:r>
        <w:rPr>
          <w:color w:val="0D0D0D"/>
        </w:rPr>
        <w:t>izstrādāt Rēzeknes</w:t>
      </w:r>
      <w:r>
        <w:t xml:space="preserve"> novada attīstības programmu 2019.-2025.gadam, turpmāk – </w:t>
      </w:r>
      <w:r>
        <w:rPr>
          <w:b/>
        </w:rPr>
        <w:t>Pakalpojums</w:t>
      </w:r>
      <w:r>
        <w:t>.</w:t>
      </w:r>
    </w:p>
    <w:p w:rsidR="00CF3B8A" w:rsidRDefault="00CF3B8A" w:rsidP="00185CF8">
      <w:pPr>
        <w:tabs>
          <w:tab w:val="left" w:pos="0"/>
        </w:tabs>
        <w:spacing w:after="120"/>
        <w:ind w:right="-1050"/>
        <w:jc w:val="both"/>
      </w:pPr>
      <w:r>
        <w:t xml:space="preserve">     1.2.</w:t>
      </w:r>
      <w:r>
        <w:tab/>
        <w:t>Pakalpojumam jāatbilst Latvijas Republikas spēkā esošajiem normatīvajiem aktiem, saņemot visus nepieciešamos valsts un pašvaldības institūciju saskaņojumus.</w:t>
      </w:r>
    </w:p>
    <w:p w:rsidR="00CF3B8A" w:rsidRDefault="00CF3B8A" w:rsidP="00185CF8">
      <w:pPr>
        <w:ind w:right="-1050"/>
        <w:jc w:val="center"/>
        <w:rPr>
          <w:b/>
          <w:color w:val="0D0D0D"/>
        </w:rPr>
      </w:pPr>
      <w:r>
        <w:rPr>
          <w:b/>
          <w:color w:val="0D0D0D"/>
        </w:rPr>
        <w:tab/>
        <w:t>2. Pakalpojuma nodošanas – pieņemšanas kārtība</w:t>
      </w:r>
    </w:p>
    <w:p w:rsidR="00CF3B8A" w:rsidRDefault="00CF3B8A" w:rsidP="00185CF8">
      <w:pPr>
        <w:ind w:right="-1050"/>
        <w:jc w:val="both"/>
        <w:rPr>
          <w:color w:val="0D0D0D"/>
        </w:rPr>
      </w:pPr>
      <w:r>
        <w:rPr>
          <w:bCs/>
          <w:color w:val="0D0D0D"/>
        </w:rPr>
        <w:t xml:space="preserve">     2.1.</w:t>
      </w:r>
      <w:r>
        <w:rPr>
          <w:bCs/>
          <w:color w:val="0D0D0D"/>
        </w:rPr>
        <w:tab/>
      </w:r>
      <w:r>
        <w:rPr>
          <w:color w:val="0D0D0D"/>
        </w:rPr>
        <w:t xml:space="preserve">Izpildītājs apņemas Pakalpojumu sniegšanu uzsākt uzreiz pēc Līguma parakstīšanas un </w:t>
      </w:r>
      <w:r>
        <w:rPr>
          <w:bCs/>
          <w:color w:val="0D0D0D"/>
        </w:rPr>
        <w:t xml:space="preserve">nodot to </w:t>
      </w:r>
      <w:r>
        <w:rPr>
          <w:color w:val="0D0D0D"/>
        </w:rPr>
        <w:t xml:space="preserve">ne vēlāk kā līdz 2018.gada 30.novembrim. </w:t>
      </w:r>
    </w:p>
    <w:p w:rsidR="00CF3B8A" w:rsidRDefault="00CF3B8A" w:rsidP="00185CF8">
      <w:pPr>
        <w:tabs>
          <w:tab w:val="left" w:pos="567"/>
        </w:tabs>
        <w:ind w:right="-1050" w:firstLine="284"/>
        <w:jc w:val="both"/>
        <w:rPr>
          <w:color w:val="0D0D0D"/>
        </w:rPr>
      </w:pPr>
      <w:r>
        <w:rPr>
          <w:color w:val="0D0D0D"/>
        </w:rPr>
        <w:t>2.2.</w:t>
      </w:r>
      <w:r>
        <w:rPr>
          <w:color w:val="0D0D0D"/>
        </w:rPr>
        <w:tab/>
        <w:t xml:space="preserve">Pakalpojums tiek nodots Pasūtītājam noformējot pieņemšanas – nodošanas aktu. </w:t>
      </w:r>
    </w:p>
    <w:p w:rsidR="00CF3B8A" w:rsidRDefault="00CF3B8A" w:rsidP="00185CF8">
      <w:pPr>
        <w:spacing w:after="120"/>
        <w:ind w:right="-1050"/>
        <w:jc w:val="both"/>
        <w:rPr>
          <w:color w:val="0D0D0D"/>
        </w:rPr>
      </w:pPr>
      <w:r>
        <w:rPr>
          <w:color w:val="0D0D0D"/>
        </w:rPr>
        <w:t xml:space="preserve">     2.3.</w:t>
      </w:r>
      <w:r>
        <w:rPr>
          <w:color w:val="0D0D0D"/>
        </w:rPr>
        <w:tab/>
        <w:t xml:space="preserve">Pušu parakstītais Pakalpojuma nodošanas – pieņemšanas akts ir pamats rēķina iesniegšanai par starpposma norēķinu un galīgo norēķinu. </w:t>
      </w:r>
    </w:p>
    <w:p w:rsidR="00CF3B8A" w:rsidRDefault="00CF3B8A" w:rsidP="00185CF8">
      <w:pPr>
        <w:ind w:right="-1050"/>
        <w:jc w:val="center"/>
        <w:rPr>
          <w:b/>
          <w:color w:val="0D0D0D"/>
        </w:rPr>
      </w:pPr>
      <w:r>
        <w:rPr>
          <w:b/>
          <w:color w:val="0D0D0D"/>
        </w:rPr>
        <w:tab/>
      </w:r>
      <w:r w:rsidR="00185CF8">
        <w:rPr>
          <w:b/>
          <w:color w:val="0D0D0D"/>
        </w:rPr>
        <w:t xml:space="preserve">3. </w:t>
      </w:r>
      <w:r>
        <w:rPr>
          <w:b/>
          <w:color w:val="0D0D0D"/>
        </w:rPr>
        <w:t>Līgumcena un norēķinu kārtība</w:t>
      </w:r>
    </w:p>
    <w:p w:rsidR="00CF3B8A" w:rsidRDefault="00CF3B8A" w:rsidP="00185CF8">
      <w:pPr>
        <w:ind w:right="-1050"/>
        <w:jc w:val="both"/>
        <w:rPr>
          <w:i/>
          <w:color w:val="0D0D0D"/>
        </w:rPr>
      </w:pPr>
      <w:r>
        <w:rPr>
          <w:color w:val="0D0D0D"/>
        </w:rPr>
        <w:t xml:space="preserve">     3.1.</w:t>
      </w:r>
      <w:r>
        <w:rPr>
          <w:color w:val="0D0D0D"/>
        </w:rPr>
        <w:tab/>
      </w:r>
      <w:r w:rsidRPr="003F1A09">
        <w:rPr>
          <w:color w:val="0D0D0D"/>
          <w:u w:val="single"/>
        </w:rPr>
        <w:t xml:space="preserve">Līgumcena sastāda EUR </w:t>
      </w:r>
      <w:r w:rsidR="00185CF8" w:rsidRPr="003F1A09">
        <w:rPr>
          <w:color w:val="0D0D0D"/>
          <w:u w:val="single"/>
        </w:rPr>
        <w:t>17540,00</w:t>
      </w:r>
      <w:r w:rsidR="00185CF8">
        <w:rPr>
          <w:color w:val="0D0D0D"/>
        </w:rPr>
        <w:t xml:space="preserve"> </w:t>
      </w:r>
      <w:r>
        <w:rPr>
          <w:color w:val="0D0D0D"/>
        </w:rPr>
        <w:t>(</w:t>
      </w:r>
      <w:r w:rsidR="00185CF8">
        <w:rPr>
          <w:color w:val="0D0D0D"/>
        </w:rPr>
        <w:t xml:space="preserve">septiņpadsmit tūkstoši pieci simti četrdesmit </w:t>
      </w:r>
      <w:proofErr w:type="spellStart"/>
      <w:r w:rsidR="00185CF8" w:rsidRPr="00185CF8">
        <w:rPr>
          <w:i/>
          <w:color w:val="0D0D0D"/>
        </w:rPr>
        <w:t>euro</w:t>
      </w:r>
      <w:proofErr w:type="spellEnd"/>
      <w:r w:rsidR="00185CF8">
        <w:rPr>
          <w:color w:val="0D0D0D"/>
        </w:rPr>
        <w:t>,       00 centi</w:t>
      </w:r>
      <w:r>
        <w:rPr>
          <w:color w:val="0D0D0D"/>
        </w:rPr>
        <w:t xml:space="preserve">), </w:t>
      </w:r>
      <w:r w:rsidRPr="003F1A09">
        <w:rPr>
          <w:color w:val="0D0D0D"/>
          <w:u w:val="single"/>
        </w:rPr>
        <w:t>neieskaitot pievienotās vērtības nodokli</w:t>
      </w:r>
      <w:r>
        <w:rPr>
          <w:color w:val="0D0D0D"/>
        </w:rPr>
        <w:t xml:space="preserve">, turpmāk – PVN (21%). PVN summa sastāda EUR </w:t>
      </w:r>
      <w:r w:rsidR="00185CF8">
        <w:rPr>
          <w:color w:val="0D0D0D"/>
        </w:rPr>
        <w:t>3683,40</w:t>
      </w:r>
      <w:r>
        <w:rPr>
          <w:color w:val="0D0D0D"/>
        </w:rPr>
        <w:t xml:space="preserve"> (</w:t>
      </w:r>
      <w:r w:rsidR="00185CF8">
        <w:rPr>
          <w:color w:val="0D0D0D"/>
        </w:rPr>
        <w:t xml:space="preserve">trīs tūkstoši seši simti astoņdesmit trīs </w:t>
      </w:r>
      <w:proofErr w:type="spellStart"/>
      <w:r w:rsidR="00185CF8" w:rsidRPr="00185CF8">
        <w:rPr>
          <w:i/>
          <w:color w:val="0D0D0D"/>
        </w:rPr>
        <w:t>euro</w:t>
      </w:r>
      <w:proofErr w:type="spellEnd"/>
      <w:r w:rsidR="00185CF8">
        <w:rPr>
          <w:color w:val="0D0D0D"/>
        </w:rPr>
        <w:t>, 40 centi</w:t>
      </w:r>
      <w:r>
        <w:rPr>
          <w:color w:val="0D0D0D"/>
        </w:rPr>
        <w:t xml:space="preserve">). Līgumcena kopā ar PVN – </w:t>
      </w:r>
      <w:r w:rsidRPr="003F1A09">
        <w:rPr>
          <w:b/>
          <w:color w:val="0D0D0D"/>
        </w:rPr>
        <w:t xml:space="preserve">EUR </w:t>
      </w:r>
      <w:r w:rsidR="00185CF8" w:rsidRPr="003F1A09">
        <w:rPr>
          <w:b/>
          <w:color w:val="0D0D0D"/>
        </w:rPr>
        <w:t>21223,40</w:t>
      </w:r>
      <w:r>
        <w:rPr>
          <w:color w:val="0D0D0D"/>
        </w:rPr>
        <w:t xml:space="preserve"> (</w:t>
      </w:r>
      <w:r w:rsidR="00185CF8">
        <w:rPr>
          <w:color w:val="0D0D0D"/>
        </w:rPr>
        <w:t xml:space="preserve">divdesmit viens tūkstotis divi simti divdesmit trīs </w:t>
      </w:r>
      <w:proofErr w:type="spellStart"/>
      <w:r w:rsidR="00185CF8" w:rsidRPr="003F1A09">
        <w:rPr>
          <w:i/>
          <w:color w:val="0D0D0D"/>
        </w:rPr>
        <w:t>euro</w:t>
      </w:r>
      <w:proofErr w:type="spellEnd"/>
      <w:r w:rsidR="00185CF8">
        <w:rPr>
          <w:color w:val="0D0D0D"/>
        </w:rPr>
        <w:t xml:space="preserve">, </w:t>
      </w:r>
      <w:r w:rsidR="003F1A09">
        <w:rPr>
          <w:color w:val="0D0D0D"/>
        </w:rPr>
        <w:t>40 centi</w:t>
      </w:r>
      <w:r>
        <w:rPr>
          <w:color w:val="0D0D0D"/>
        </w:rPr>
        <w:t>).</w:t>
      </w:r>
    </w:p>
    <w:p w:rsidR="00CF3B8A" w:rsidRDefault="00CF3B8A" w:rsidP="00185CF8">
      <w:pPr>
        <w:tabs>
          <w:tab w:val="left" w:pos="567"/>
        </w:tabs>
        <w:ind w:right="-1050"/>
        <w:jc w:val="both"/>
        <w:rPr>
          <w:color w:val="0D0D0D"/>
        </w:rPr>
      </w:pPr>
      <w:r>
        <w:rPr>
          <w:color w:val="0D0D0D"/>
        </w:rPr>
        <w:t xml:space="preserve">     3.2.</w:t>
      </w:r>
      <w:r>
        <w:rPr>
          <w:color w:val="0D0D0D"/>
        </w:rPr>
        <w:tab/>
        <w:t>Pasūtītājs norēķinus ar Izpildītāju veic sekojoši:</w:t>
      </w:r>
    </w:p>
    <w:p w:rsidR="00CF3B8A" w:rsidRDefault="00CF3B8A" w:rsidP="00185CF8">
      <w:pPr>
        <w:ind w:right="-1050" w:firstLine="567"/>
        <w:jc w:val="both"/>
      </w:pPr>
      <w:r>
        <w:rPr>
          <w:color w:val="0D0D0D"/>
        </w:rPr>
        <w:t xml:space="preserve">   </w:t>
      </w:r>
      <w:r>
        <w:t>3.2.1.</w:t>
      </w:r>
      <w:r>
        <w:tab/>
        <w:t xml:space="preserve">starpmaksājuma summu 40% (četrdesmit procentu) apmērā no kopējās līgumcenas ar PVN – EUR </w:t>
      </w:r>
      <w:r w:rsidR="003F1A09">
        <w:t>8489,36</w:t>
      </w:r>
      <w:r>
        <w:t xml:space="preserve"> (</w:t>
      </w:r>
      <w:r w:rsidR="003F1A09">
        <w:t xml:space="preserve">astoņi tūkstoši četri simti astoņdesmit deviņi </w:t>
      </w:r>
      <w:proofErr w:type="spellStart"/>
      <w:r w:rsidR="003F1A09" w:rsidRPr="003F1A09">
        <w:rPr>
          <w:i/>
        </w:rPr>
        <w:t>euro</w:t>
      </w:r>
      <w:proofErr w:type="spellEnd"/>
      <w:r w:rsidR="003F1A09">
        <w:t>, 36 centi</w:t>
      </w:r>
      <w:r>
        <w:t xml:space="preserve">), tostarp PVN summa – EUR </w:t>
      </w:r>
      <w:r w:rsidR="003F1A09">
        <w:t xml:space="preserve">1473,36 (viens tūkstotis četri simti septiņdesmit trīs </w:t>
      </w:r>
      <w:proofErr w:type="spellStart"/>
      <w:r w:rsidR="003F1A09" w:rsidRPr="003F1A09">
        <w:rPr>
          <w:i/>
        </w:rPr>
        <w:t>euro</w:t>
      </w:r>
      <w:proofErr w:type="spellEnd"/>
      <w:r w:rsidR="003F1A09">
        <w:t>, 36 centi)</w:t>
      </w:r>
      <w:r>
        <w:t>, samaksā Izpildītājam pēc Attīstības programmas 1.redakcijas izstrādes pieņemšanas – nodošanas akta abpusējas parakstīšanas 15 (piecpadsmit) darba dienu laikā no attiecīgā Izpildītāja rēķina saņemšanas;</w:t>
      </w:r>
    </w:p>
    <w:p w:rsidR="00CF3B8A" w:rsidRDefault="00CF3B8A" w:rsidP="00185CF8">
      <w:pPr>
        <w:ind w:right="-1050" w:firstLine="567"/>
        <w:jc w:val="both"/>
      </w:pPr>
      <w:r>
        <w:rPr>
          <w:color w:val="FF0000"/>
        </w:rPr>
        <w:t xml:space="preserve">   </w:t>
      </w:r>
      <w:r>
        <w:t>3.2.2.</w:t>
      </w:r>
      <w:r>
        <w:tab/>
        <w:t xml:space="preserve">atlikušo maksājumu 60% (sešdesmit procentu) apmērā no kopējās līgumcenas ar PVN – EUR </w:t>
      </w:r>
      <w:r w:rsidR="003F1A09">
        <w:t>12734,04</w:t>
      </w:r>
      <w:r>
        <w:t xml:space="preserve"> (</w:t>
      </w:r>
      <w:r w:rsidR="003F1A09">
        <w:t xml:space="preserve">divpadsmit tūkstoši septiņi simti trīsdesmit četri </w:t>
      </w:r>
      <w:proofErr w:type="spellStart"/>
      <w:r w:rsidR="003F1A09" w:rsidRPr="003F1A09">
        <w:rPr>
          <w:i/>
        </w:rPr>
        <w:t>euro</w:t>
      </w:r>
      <w:proofErr w:type="spellEnd"/>
      <w:r w:rsidR="003F1A09">
        <w:t>, 04 centi</w:t>
      </w:r>
      <w:r>
        <w:t xml:space="preserve">), tostarp PVN summa – EUR </w:t>
      </w:r>
      <w:r w:rsidR="003F1A09">
        <w:t xml:space="preserve">2210,04 (divi tūkstoši divi simti desmit </w:t>
      </w:r>
      <w:proofErr w:type="spellStart"/>
      <w:r w:rsidR="003F1A09" w:rsidRPr="003F1A09">
        <w:rPr>
          <w:i/>
        </w:rPr>
        <w:t>euro</w:t>
      </w:r>
      <w:proofErr w:type="spellEnd"/>
      <w:r w:rsidR="003F1A09">
        <w:t>, 04 centi)</w:t>
      </w:r>
      <w:r>
        <w:t xml:space="preserve">, samaksā Izpildītājam pēc Pakalpojuma pieņemšanas – nodošanas akta abpusējas parakstīšanas 15 (piecpadsmit) darba dienu laikā no attiecīgā Izpildītāja rēķina saņemšanas. </w:t>
      </w:r>
    </w:p>
    <w:p w:rsidR="00CF3B8A" w:rsidRDefault="00CF3B8A" w:rsidP="00185CF8">
      <w:pPr>
        <w:ind w:right="-1050"/>
        <w:jc w:val="both"/>
        <w:rPr>
          <w:color w:val="0D0D0D"/>
          <w:lang w:eastAsia="ar-SA"/>
        </w:rPr>
      </w:pPr>
      <w:r>
        <w:rPr>
          <w:color w:val="0D0D0D"/>
        </w:rPr>
        <w:t xml:space="preserve">     </w:t>
      </w:r>
      <w:r>
        <w:rPr>
          <w:color w:val="0D0D0D"/>
          <w:lang w:eastAsia="ar-SA"/>
        </w:rPr>
        <w:t>3.3.</w:t>
      </w:r>
      <w:r>
        <w:rPr>
          <w:color w:val="0D0D0D"/>
          <w:lang w:eastAsia="ar-SA"/>
        </w:rPr>
        <w:tab/>
        <w:t xml:space="preserve">Samaksa par Līgumā noteikto Pakalpojumu tiek veikta ar pārskaitījumu uz </w:t>
      </w:r>
      <w:r>
        <w:rPr>
          <w:bCs/>
          <w:color w:val="0D0D0D"/>
          <w:lang w:eastAsia="ar-SA"/>
        </w:rPr>
        <w:t>Izpildītāj</w:t>
      </w:r>
      <w:r>
        <w:rPr>
          <w:color w:val="0D0D0D"/>
          <w:lang w:eastAsia="ar-SA"/>
        </w:rPr>
        <w:t xml:space="preserve">a norādīto kontu kredītiestādē. </w:t>
      </w:r>
    </w:p>
    <w:p w:rsidR="00CF3B8A" w:rsidRDefault="00CF3B8A" w:rsidP="00185CF8">
      <w:pPr>
        <w:spacing w:after="120"/>
        <w:ind w:right="-1050"/>
        <w:jc w:val="both"/>
      </w:pPr>
      <w:r>
        <w:rPr>
          <w:color w:val="0D0D0D"/>
          <w:lang w:eastAsia="ar-SA"/>
        </w:rPr>
        <w:t xml:space="preserve">     3.4.</w:t>
      </w:r>
      <w:r>
        <w:rPr>
          <w:color w:val="0D0D0D"/>
          <w:lang w:eastAsia="ar-SA"/>
        </w:rPr>
        <w:tab/>
        <w:t>L</w:t>
      </w:r>
      <w:r>
        <w:t>īgumcenā ir ietverti visi Izpildītāja izdevumi, kas saistīti ar pienācīgu un pilnīgu Pakalpojuma sniegšanu un nepieciešami Pakalpojuma pilnīgai nodošanai.</w:t>
      </w:r>
    </w:p>
    <w:p w:rsidR="00CF3B8A" w:rsidRDefault="00CF3B8A" w:rsidP="003F1A09">
      <w:pPr>
        <w:ind w:right="-1050"/>
        <w:jc w:val="center"/>
        <w:rPr>
          <w:b/>
          <w:color w:val="0D0D0D"/>
        </w:rPr>
      </w:pPr>
      <w:r>
        <w:rPr>
          <w:b/>
          <w:color w:val="0D0D0D"/>
        </w:rPr>
        <w:t>4. Pušu tiesības un pienākumi</w:t>
      </w:r>
    </w:p>
    <w:p w:rsidR="00CF3B8A" w:rsidRDefault="00CF3B8A" w:rsidP="003F1A09">
      <w:pPr>
        <w:pStyle w:val="BodyTextIndent2"/>
        <w:shd w:val="clear" w:color="auto" w:fill="FFFFFF"/>
        <w:tabs>
          <w:tab w:val="left" w:pos="567"/>
        </w:tabs>
        <w:spacing w:after="0" w:line="240" w:lineRule="auto"/>
        <w:ind w:left="0" w:right="-1050"/>
        <w:jc w:val="both"/>
      </w:pPr>
      <w:r>
        <w:t xml:space="preserve">     4.1. </w:t>
      </w:r>
      <w:r>
        <w:rPr>
          <w:u w:val="single"/>
        </w:rPr>
        <w:t>Izpildītāja saistības</w:t>
      </w:r>
      <w:r>
        <w:t>.</w:t>
      </w:r>
    </w:p>
    <w:p w:rsidR="00CF3B8A" w:rsidRDefault="00CF3B8A" w:rsidP="003F1A09">
      <w:pPr>
        <w:pStyle w:val="Sarakstarindkopa1"/>
        <w:widowControl/>
        <w:tabs>
          <w:tab w:val="left" w:pos="709"/>
        </w:tabs>
        <w:autoSpaceDE/>
        <w:adjustRightInd/>
        <w:ind w:left="0" w:right="-1050" w:firstLine="567"/>
        <w:jc w:val="both"/>
        <w:rPr>
          <w:sz w:val="24"/>
          <w:szCs w:val="24"/>
        </w:rPr>
      </w:pPr>
      <w:r>
        <w:rPr>
          <w:sz w:val="24"/>
          <w:szCs w:val="24"/>
        </w:rPr>
        <w:t xml:space="preserve">   4.1.1. Izpildītājs veic attīstības programmas izstrādi saskaņā ar Līguma un tā pielikumu nosacījumiem.</w:t>
      </w:r>
    </w:p>
    <w:p w:rsidR="00CF3B8A" w:rsidRDefault="00CF3B8A" w:rsidP="00CF3B8A">
      <w:pPr>
        <w:pStyle w:val="Sarakstarindkopa1"/>
        <w:widowControl/>
        <w:tabs>
          <w:tab w:val="left" w:pos="567"/>
        </w:tabs>
        <w:autoSpaceDE/>
        <w:adjustRightInd/>
        <w:ind w:left="1134"/>
        <w:jc w:val="both"/>
        <w:rPr>
          <w:sz w:val="24"/>
          <w:szCs w:val="24"/>
        </w:rPr>
      </w:pPr>
    </w:p>
    <w:p w:rsidR="00CF3B8A" w:rsidRDefault="00CF3B8A" w:rsidP="003F1A09">
      <w:pPr>
        <w:pStyle w:val="Sarakstarindkopa1"/>
        <w:widowControl/>
        <w:autoSpaceDE/>
        <w:adjustRightInd/>
        <w:ind w:left="0" w:right="-1050" w:firstLine="709"/>
        <w:jc w:val="both"/>
        <w:rPr>
          <w:sz w:val="24"/>
          <w:szCs w:val="24"/>
        </w:rPr>
      </w:pPr>
      <w:r>
        <w:rPr>
          <w:bCs/>
          <w:color w:val="0D0D0D"/>
          <w:sz w:val="24"/>
          <w:szCs w:val="24"/>
        </w:rPr>
        <w:lastRenderedPageBreak/>
        <w:t>4.1.2. Izpildītājs</w:t>
      </w:r>
      <w:r>
        <w:rPr>
          <w:color w:val="0D0D0D"/>
          <w:sz w:val="24"/>
          <w:szCs w:val="24"/>
        </w:rPr>
        <w:t xml:space="preserve"> sniedz Pakalpojumu Līgumā noteiktajā apjomā un termiņā atbilstoši Pasūtītāja norādījumiem.</w:t>
      </w:r>
    </w:p>
    <w:p w:rsidR="00CF3B8A" w:rsidRDefault="00CF3B8A" w:rsidP="003F1A09">
      <w:pPr>
        <w:pStyle w:val="Sarakstarindkopa1"/>
        <w:widowControl/>
        <w:tabs>
          <w:tab w:val="left" w:pos="540"/>
          <w:tab w:val="left" w:pos="709"/>
        </w:tabs>
        <w:autoSpaceDE/>
        <w:adjustRightInd/>
        <w:ind w:left="567" w:right="-1050" w:firstLine="142"/>
        <w:jc w:val="both"/>
        <w:rPr>
          <w:sz w:val="24"/>
          <w:szCs w:val="24"/>
        </w:rPr>
      </w:pPr>
      <w:r>
        <w:rPr>
          <w:bCs/>
          <w:color w:val="0D0D0D"/>
          <w:sz w:val="24"/>
          <w:szCs w:val="24"/>
        </w:rPr>
        <w:t>4.1.3. Izpildītājs</w:t>
      </w:r>
      <w:r>
        <w:rPr>
          <w:color w:val="0D0D0D"/>
          <w:sz w:val="24"/>
          <w:szCs w:val="24"/>
        </w:rPr>
        <w:t xml:space="preserve"> garantē, ka Pakalpojumu sniegs rūpīgi, profesionāli un prasmīgi.</w:t>
      </w:r>
    </w:p>
    <w:p w:rsidR="00CF3B8A" w:rsidRDefault="00CF3B8A" w:rsidP="003F1A09">
      <w:pPr>
        <w:tabs>
          <w:tab w:val="left" w:pos="567"/>
          <w:tab w:val="left" w:pos="1134"/>
        </w:tabs>
        <w:ind w:right="-1050" w:firstLine="709"/>
        <w:jc w:val="both"/>
      </w:pPr>
      <w:r>
        <w:t>4.1.4. Izpildītājs apņemas neizpaust informāciju, nepaturēt un nenodot trešajām personām dokumentus vai to kopijas, kas ir pieejami saistībā ar Pakalpojuma sniegšanu.</w:t>
      </w:r>
    </w:p>
    <w:p w:rsidR="00CF3B8A" w:rsidRDefault="00CF3B8A" w:rsidP="003F1A09">
      <w:pPr>
        <w:tabs>
          <w:tab w:val="left" w:pos="1134"/>
        </w:tabs>
        <w:ind w:right="-1050" w:firstLine="709"/>
        <w:jc w:val="both"/>
      </w:pPr>
      <w:r>
        <w:t>4.1.5. Parakstot Līgumu, Izpildītājs apliecina, ka ir iepazinies ar Līguma un tā pielikumu noteikumiem un atzinis tos par saistošiem un izpildāmiem. Izpildītājs apliecina, ka viņa rīcībā ir pietiekoši darbinieku un nepieciešamo materiālu resursi, kā arī citi līdzekļi, lai savlaicīgi un kvalitatīvi veiktu visus Līgumā un tā pielikumos noteiktos pienākumus.</w:t>
      </w:r>
    </w:p>
    <w:p w:rsidR="00CF3B8A" w:rsidRDefault="00CF3B8A" w:rsidP="003F1A09">
      <w:pPr>
        <w:tabs>
          <w:tab w:val="left" w:pos="1134"/>
        </w:tabs>
        <w:ind w:right="-1050" w:firstLine="709"/>
        <w:jc w:val="both"/>
      </w:pPr>
      <w:r>
        <w:t>4.1.6. Izpildītājs uzņemas atbildību par normatīvo aktu prasību ievērošanu, pildot ar Līgumu uzņemtās saistības.</w:t>
      </w:r>
    </w:p>
    <w:p w:rsidR="00CF3B8A" w:rsidRDefault="00CF3B8A" w:rsidP="003F1A09">
      <w:pPr>
        <w:pStyle w:val="BodyTextIndent2"/>
        <w:shd w:val="clear" w:color="auto" w:fill="FFFFFF"/>
        <w:tabs>
          <w:tab w:val="left" w:pos="567"/>
        </w:tabs>
        <w:spacing w:after="0" w:line="240" w:lineRule="auto"/>
        <w:ind w:left="0" w:right="-1050"/>
        <w:jc w:val="both"/>
      </w:pPr>
      <w:r>
        <w:t xml:space="preserve">     4.2. </w:t>
      </w:r>
      <w:r>
        <w:rPr>
          <w:u w:val="single"/>
        </w:rPr>
        <w:t>Pasūtītāja saistības</w:t>
      </w:r>
      <w:r>
        <w:t>.</w:t>
      </w:r>
    </w:p>
    <w:p w:rsidR="00CF3B8A" w:rsidRDefault="00CF3B8A" w:rsidP="003F1A09">
      <w:pPr>
        <w:ind w:right="-1050" w:firstLine="709"/>
        <w:jc w:val="both"/>
      </w:pPr>
      <w:r>
        <w:t xml:space="preserve">4.2.1. Pasūtītājs Līgumā noteiktajā kārtībā pieņem </w:t>
      </w:r>
      <w:r>
        <w:rPr>
          <w:color w:val="0D0D0D"/>
        </w:rPr>
        <w:t>izstrādāto Rēzeknes</w:t>
      </w:r>
      <w:r>
        <w:t xml:space="preserve"> novada attīstības programmu 2019.-2025.gadam un veic samaksu par kvalitatīvu Pakalpojumu.</w:t>
      </w:r>
    </w:p>
    <w:p w:rsidR="00CF3B8A" w:rsidRDefault="00CF3B8A" w:rsidP="003F1A09">
      <w:pPr>
        <w:ind w:right="-1050" w:firstLine="709"/>
        <w:jc w:val="both"/>
      </w:pPr>
      <w:r>
        <w:t>4.2.2. Pasūtītājs sniedz Izpildītājam visu Līguma izpildei nepieciešamo un savlaicīgi pieprasīto informāciju, kā arī informāciju, kuru Pasūtītājs vai Izpildītājs uzskatīs par nepieciešamu nodot Līguma izpildes sekmēšanai.</w:t>
      </w:r>
    </w:p>
    <w:p w:rsidR="00CF3B8A" w:rsidRDefault="00CF3B8A" w:rsidP="003F1A09">
      <w:pPr>
        <w:ind w:right="-1050" w:firstLine="709"/>
        <w:jc w:val="both"/>
      </w:pPr>
      <w:r>
        <w:t>4.2.3. Pasūtītājam ir tiesības veikt kontroli par Līguma izpildi, pieaicinot speciālistus un ekspertus.</w:t>
      </w:r>
    </w:p>
    <w:p w:rsidR="00CF3B8A" w:rsidRDefault="00CF3B8A" w:rsidP="003F1A09">
      <w:pPr>
        <w:ind w:right="-1050" w:firstLine="709"/>
        <w:jc w:val="both"/>
      </w:pPr>
      <w:r>
        <w:rPr>
          <w:color w:val="0D0D0D"/>
        </w:rPr>
        <w:t>4.2.4. Pasūtītājs pārbauda sniegtā Pakalpojuma atbilstību Līgumā un normatīvajos aktos noteiktajām prasībām.</w:t>
      </w:r>
    </w:p>
    <w:p w:rsidR="00CF3B8A" w:rsidRDefault="00CF3B8A" w:rsidP="003F1A09">
      <w:pPr>
        <w:pStyle w:val="Sarakstarindkopa1"/>
        <w:widowControl/>
        <w:autoSpaceDE/>
        <w:adjustRightInd/>
        <w:ind w:left="0" w:right="-1050"/>
        <w:jc w:val="center"/>
        <w:rPr>
          <w:b/>
          <w:color w:val="0D0D0D"/>
          <w:sz w:val="24"/>
          <w:szCs w:val="24"/>
        </w:rPr>
      </w:pPr>
      <w:r>
        <w:rPr>
          <w:b/>
          <w:color w:val="0D0D0D"/>
          <w:sz w:val="24"/>
          <w:szCs w:val="24"/>
        </w:rPr>
        <w:t>5. Pušu sadarbība un pilnvarotās personas</w:t>
      </w:r>
    </w:p>
    <w:p w:rsidR="00CF3B8A" w:rsidRDefault="00CF3B8A" w:rsidP="003F1A09">
      <w:pPr>
        <w:ind w:right="-1050"/>
        <w:jc w:val="both"/>
        <w:rPr>
          <w:color w:val="0D0D0D"/>
        </w:rPr>
      </w:pPr>
      <w:r>
        <w:rPr>
          <w:color w:val="0D0D0D"/>
        </w:rPr>
        <w:t xml:space="preserve">     5.1.</w:t>
      </w:r>
      <w:r>
        <w:rPr>
          <w:color w:val="0D0D0D"/>
        </w:rPr>
        <w:tab/>
        <w:t>Līguma izpildei katra Puse nozīmē vienu vai vairākus pārstāvjus, kuru pienākums ir vadīt un sekot Līguma izpildei, tai skaitā, pārbaudīt un pieņemt Pakalpojumu, informēt par Līguma izpildi vienu vai otru Pusi.</w:t>
      </w:r>
    </w:p>
    <w:p w:rsidR="005C4EBB" w:rsidRDefault="00CF3B8A" w:rsidP="00A1219F">
      <w:pPr>
        <w:ind w:right="-1050" w:firstLine="709"/>
        <w:jc w:val="both"/>
        <w:rPr>
          <w:color w:val="0D0D0D"/>
        </w:rPr>
      </w:pPr>
      <w:r>
        <w:rPr>
          <w:color w:val="0D0D0D"/>
        </w:rPr>
        <w:t xml:space="preserve">5.1.1. Pasūtītāja nozīmētais pārstāvis: </w:t>
      </w:r>
      <w:r w:rsidR="00A1219F">
        <w:rPr>
          <w:color w:val="0D0D0D"/>
        </w:rPr>
        <w:t xml:space="preserve">Līga </w:t>
      </w:r>
      <w:proofErr w:type="spellStart"/>
      <w:r w:rsidR="00A1219F">
        <w:rPr>
          <w:color w:val="0D0D0D"/>
        </w:rPr>
        <w:t>Romančuka</w:t>
      </w:r>
      <w:proofErr w:type="spellEnd"/>
      <w:r w:rsidR="005C4EBB">
        <w:rPr>
          <w:color w:val="0D0D0D"/>
        </w:rPr>
        <w:t>.</w:t>
      </w:r>
    </w:p>
    <w:p w:rsidR="00CF3B8A" w:rsidRDefault="00CF3B8A" w:rsidP="00A1219F">
      <w:pPr>
        <w:ind w:right="-1050" w:firstLine="709"/>
        <w:jc w:val="both"/>
        <w:rPr>
          <w:color w:val="0D0D0D"/>
        </w:rPr>
      </w:pPr>
      <w:r>
        <w:rPr>
          <w:color w:val="0D0D0D"/>
        </w:rPr>
        <w:t xml:space="preserve">5.1.2. </w:t>
      </w:r>
      <w:r>
        <w:rPr>
          <w:bCs/>
          <w:color w:val="0D0D0D"/>
        </w:rPr>
        <w:t xml:space="preserve">Izpildītāja </w:t>
      </w:r>
      <w:r>
        <w:rPr>
          <w:color w:val="0D0D0D"/>
        </w:rPr>
        <w:t>nozīmētais pārstāvis:</w:t>
      </w:r>
      <w:r w:rsidR="00A1219F">
        <w:rPr>
          <w:color w:val="0D0D0D"/>
        </w:rPr>
        <w:t xml:space="preserve"> Līna </w:t>
      </w:r>
      <w:proofErr w:type="spellStart"/>
      <w:r w:rsidR="00A1219F">
        <w:rPr>
          <w:color w:val="0D0D0D"/>
        </w:rPr>
        <w:t>Dimitrijeva</w:t>
      </w:r>
      <w:proofErr w:type="spellEnd"/>
      <w:r>
        <w:rPr>
          <w:color w:val="0D0D0D"/>
        </w:rPr>
        <w:t>.</w:t>
      </w:r>
    </w:p>
    <w:p w:rsidR="00CF3B8A" w:rsidRDefault="00CF3B8A" w:rsidP="00A1219F">
      <w:pPr>
        <w:ind w:right="-1049"/>
        <w:jc w:val="both"/>
        <w:rPr>
          <w:color w:val="0D0D0D"/>
        </w:rPr>
      </w:pPr>
      <w:r>
        <w:rPr>
          <w:color w:val="0D0D0D"/>
        </w:rPr>
        <w:t xml:space="preserve">     5.2.</w:t>
      </w:r>
      <w:r>
        <w:rPr>
          <w:color w:val="0D0D0D"/>
        </w:rPr>
        <w:tab/>
        <w:t>Pārstāvju maiņas gadījumā Puses rakstiski informē par to viena otru 3 (trīs) darba dienas iepriekš.</w:t>
      </w:r>
    </w:p>
    <w:p w:rsidR="00CF3B8A" w:rsidRDefault="00CF3B8A" w:rsidP="00A1219F">
      <w:pPr>
        <w:pStyle w:val="Sarakstarindkopa1"/>
        <w:widowControl/>
        <w:tabs>
          <w:tab w:val="left" w:pos="270"/>
          <w:tab w:val="left" w:pos="450"/>
          <w:tab w:val="left" w:pos="2970"/>
          <w:tab w:val="left" w:pos="3600"/>
        </w:tabs>
        <w:autoSpaceDE/>
        <w:adjustRightInd/>
        <w:ind w:left="0" w:right="-1050"/>
        <w:jc w:val="center"/>
        <w:rPr>
          <w:b/>
          <w:color w:val="0D0D0D"/>
          <w:sz w:val="24"/>
          <w:szCs w:val="24"/>
        </w:rPr>
      </w:pPr>
      <w:r>
        <w:rPr>
          <w:b/>
          <w:color w:val="0D0D0D"/>
          <w:sz w:val="24"/>
          <w:szCs w:val="24"/>
        </w:rPr>
        <w:t>6. Pušu atbildība</w:t>
      </w:r>
    </w:p>
    <w:p w:rsidR="00CF3B8A" w:rsidRDefault="00CF3B8A" w:rsidP="00A1219F">
      <w:pPr>
        <w:pStyle w:val="Sarakstarindkopa1"/>
        <w:widowControl/>
        <w:autoSpaceDE/>
        <w:adjustRightInd/>
        <w:ind w:left="0" w:right="-1050"/>
        <w:jc w:val="both"/>
        <w:rPr>
          <w:sz w:val="24"/>
          <w:szCs w:val="24"/>
        </w:rPr>
      </w:pPr>
      <w:r>
        <w:rPr>
          <w:sz w:val="24"/>
          <w:szCs w:val="24"/>
        </w:rPr>
        <w:t xml:space="preserve">     6.1. Par savu saistību atbilstošu izpildi Izpildītājs un Pasūtītājs atbild saskaņā ar Līgumu un Latvijas Republikā spēkā esošajiem normatīvajiem aktiem.</w:t>
      </w:r>
    </w:p>
    <w:p w:rsidR="00CF3B8A" w:rsidRDefault="00CF3B8A" w:rsidP="00A1219F">
      <w:pPr>
        <w:pStyle w:val="Sarakstarindkopa1"/>
        <w:widowControl/>
        <w:autoSpaceDE/>
        <w:adjustRightInd/>
        <w:ind w:left="0" w:right="-1050"/>
        <w:jc w:val="both"/>
        <w:rPr>
          <w:sz w:val="24"/>
          <w:szCs w:val="24"/>
        </w:rPr>
      </w:pPr>
      <w:r>
        <w:rPr>
          <w:sz w:val="24"/>
          <w:szCs w:val="24"/>
        </w:rPr>
        <w:t xml:space="preserve">     6.2. Gadījumā, ja tiek pārkāpti Līgumā noteiktie Pakalpojuma izpildes termiņi vai Attīstības programmas dokumentācijas iesniegšanas termiņi, Izpildītājs maksā Pasūtītājam līgumsodu 0,5% (nulle komats pieci procenti) apmērā no kopējās līgumcenas ar PVN par katru nokavēto dienu, bet ne vairāk kā 10% (desmit procenti) no kopējās līgumcenas.</w:t>
      </w:r>
    </w:p>
    <w:p w:rsidR="00CF3B8A" w:rsidRDefault="00CF3B8A" w:rsidP="00A1219F">
      <w:pPr>
        <w:pStyle w:val="Sarakstarindkopa1"/>
        <w:widowControl/>
        <w:autoSpaceDE/>
        <w:adjustRightInd/>
        <w:ind w:left="0" w:right="-1050"/>
        <w:jc w:val="both"/>
        <w:rPr>
          <w:sz w:val="24"/>
          <w:szCs w:val="24"/>
        </w:rPr>
      </w:pPr>
      <w:r>
        <w:rPr>
          <w:sz w:val="24"/>
          <w:szCs w:val="24"/>
        </w:rPr>
        <w:t xml:space="preserve">     6.3. Gadījumā, ja nepamatoti tiek kavēti Līgumā noteiktie maksājumi, Pasūtītājs maksā Izpildītājam līgumsodu 0,5% (nulle komats pieci procenti) apmērā no nokavētā maksājuma summas par katru nokavēto dienu, bet ne vairāk kā 10% (desmit procenti) no kopējās līgumcenas.</w:t>
      </w:r>
    </w:p>
    <w:p w:rsidR="00CF3B8A" w:rsidRDefault="00CF3B8A" w:rsidP="00A1219F">
      <w:pPr>
        <w:pStyle w:val="Sarakstarindkopa1"/>
        <w:widowControl/>
        <w:autoSpaceDE/>
        <w:adjustRightInd/>
        <w:ind w:left="0" w:right="-1050"/>
        <w:jc w:val="both"/>
        <w:rPr>
          <w:sz w:val="24"/>
          <w:szCs w:val="24"/>
        </w:rPr>
      </w:pPr>
      <w:r>
        <w:rPr>
          <w:sz w:val="24"/>
          <w:szCs w:val="24"/>
        </w:rPr>
        <w:t xml:space="preserve">     6.4. Gadījumā, ja Pasūtītājs </w:t>
      </w:r>
      <w:r>
        <w:rPr>
          <w:color w:val="00000A"/>
          <w:sz w:val="24"/>
          <w:szCs w:val="24"/>
        </w:rPr>
        <w:t xml:space="preserve">saskaņā ar Līguma 2.2.punktu Attīstības programmas dokumentācijā ir konstatējis neatbilstības, kas radušies tāpēc, ka Izpildītājs nav ievērojis izvirzītas prasības, un Izpildītājs šīs neatbilstības nenovērš Pasūtītāja noteiktajā termiņā, tad Izpildītājs </w:t>
      </w:r>
      <w:r>
        <w:rPr>
          <w:sz w:val="24"/>
          <w:szCs w:val="24"/>
        </w:rPr>
        <w:t>maksā Pasūtītājam līgumsodu 0,5% (nulle komats pieci procenti) apmērā no kopējās līgumcenas ar PVN par katru nokavēto dienu, bet ne vairāk kā 10% (desmit procenti) no kopējās līgumcenas.</w:t>
      </w:r>
    </w:p>
    <w:p w:rsidR="00CF3B8A" w:rsidRDefault="00CF3B8A" w:rsidP="00A1219F">
      <w:pPr>
        <w:pStyle w:val="Sarakstarindkopa1"/>
        <w:widowControl/>
        <w:tabs>
          <w:tab w:val="left" w:pos="567"/>
        </w:tabs>
        <w:autoSpaceDE/>
        <w:adjustRightInd/>
        <w:ind w:left="0"/>
        <w:jc w:val="both"/>
        <w:rPr>
          <w:sz w:val="24"/>
          <w:szCs w:val="24"/>
        </w:rPr>
      </w:pPr>
      <w:r>
        <w:rPr>
          <w:sz w:val="24"/>
          <w:szCs w:val="24"/>
        </w:rPr>
        <w:t xml:space="preserve">     6.5. Līgumsoda samaksa neatbrīvo Puses no Līgumā noteikto saistību pilnīgas izpildes.</w:t>
      </w:r>
    </w:p>
    <w:p w:rsidR="00CF3B8A" w:rsidRDefault="00CF3B8A" w:rsidP="00A1219F">
      <w:pPr>
        <w:tabs>
          <w:tab w:val="left" w:pos="360"/>
          <w:tab w:val="left" w:pos="1080"/>
        </w:tabs>
        <w:ind w:right="-1050"/>
        <w:jc w:val="center"/>
        <w:rPr>
          <w:b/>
          <w:color w:val="0D0D0D"/>
        </w:rPr>
      </w:pPr>
      <w:r>
        <w:rPr>
          <w:b/>
          <w:color w:val="0D0D0D"/>
        </w:rPr>
        <w:t>7.</w:t>
      </w:r>
      <w:r>
        <w:rPr>
          <w:b/>
          <w:color w:val="0D0D0D"/>
        </w:rPr>
        <w:tab/>
        <w:t>Nepārvaramas varas apstākļi</w:t>
      </w:r>
    </w:p>
    <w:p w:rsidR="00CF3B8A" w:rsidRDefault="00CF3B8A" w:rsidP="00A1219F">
      <w:pPr>
        <w:ind w:right="-1050"/>
        <w:jc w:val="both"/>
        <w:rPr>
          <w:snapToGrid w:val="0"/>
          <w:color w:val="0D0D0D"/>
        </w:rPr>
      </w:pPr>
      <w:r>
        <w:rPr>
          <w:snapToGrid w:val="0"/>
          <w:color w:val="0D0D0D"/>
        </w:rPr>
        <w:t xml:space="preserve">     7.1.</w:t>
      </w:r>
      <w:r>
        <w:rPr>
          <w:snapToGrid w:val="0"/>
          <w:color w:val="0D0D0D"/>
        </w:rPr>
        <w:tab/>
        <w:t xml:space="preserve">Puses tiek atbrīvotas no atbildības par pilnīgu vai daļēju Līgumā paredzēto saistību neizpildi, ja šāda neizpilde ir notikusi nepārvaramas varas iestāšanās rezultātā pēc Līguma parakstīšanas dienas kā posts vai nelaime, kuru nebija iespējams ne paredzēt, ne novērst. Šāda </w:t>
      </w:r>
      <w:r>
        <w:rPr>
          <w:snapToGrid w:val="0"/>
          <w:color w:val="0D0D0D"/>
        </w:rPr>
        <w:lastRenderedPageBreak/>
        <w:t>nepārvaramā vara ietver sevī notikumus, kuri iziet ārpus Pušu kontroles un atbildības (dabas katastrofas, ūdens plūdi, ugunsgrēks, zemestrīce un citas stihiskas nelaimes, kā arī karš un karadarbība, streiki,</w:t>
      </w:r>
      <w:r>
        <w:rPr>
          <w:color w:val="0D0D0D"/>
        </w:rPr>
        <w:t xml:space="preserve"> Latvijas valsts varas un pārvaldes institūciju, kā arī pašvaldību institūciju pieņemtie normatīvie akti un norādījumi</w:t>
      </w:r>
      <w:r>
        <w:rPr>
          <w:snapToGrid w:val="0"/>
          <w:color w:val="0D0D0D"/>
        </w:rPr>
        <w:t xml:space="preserve"> un citi apstākļi, kas neiekļaujas Pušu iespējamās kontroles robežās). </w:t>
      </w:r>
    </w:p>
    <w:p w:rsidR="00CF3B8A" w:rsidRDefault="00CF3B8A" w:rsidP="00A1219F">
      <w:pPr>
        <w:ind w:right="-1050"/>
        <w:jc w:val="both"/>
        <w:rPr>
          <w:snapToGrid w:val="0"/>
          <w:color w:val="0D0D0D"/>
        </w:rPr>
      </w:pPr>
      <w:r>
        <w:rPr>
          <w:snapToGrid w:val="0"/>
          <w:color w:val="0D0D0D"/>
        </w:rPr>
        <w:t xml:space="preserve">     7.2.</w:t>
      </w:r>
      <w:r>
        <w:rPr>
          <w:snapToGrid w:val="0"/>
          <w:color w:val="0D0D0D"/>
        </w:rPr>
        <w:tab/>
        <w:t xml:space="preserve">Pusei, kas nokļuvusi nepārvaramas varas apstākļos, bez kavēšanās jāinformē par to otra Puse rakstiski 3 (triju) darba dienu laikā pēc nepārvaramas varas iestāšanās un, ja tas ir iespējams, ziņojumam jāpievieno izziņa, kuru izsniegušas kompetentas iestādes un kura satur minēto apstākļu apstiprinājumu un raksturojumu. </w:t>
      </w:r>
    </w:p>
    <w:p w:rsidR="00CF3B8A" w:rsidRDefault="00CF3B8A" w:rsidP="00A1219F">
      <w:pPr>
        <w:spacing w:after="120"/>
        <w:ind w:right="-1050"/>
        <w:jc w:val="both"/>
        <w:rPr>
          <w:snapToGrid w:val="0"/>
          <w:color w:val="0D0D0D"/>
        </w:rPr>
      </w:pPr>
      <w:r>
        <w:rPr>
          <w:snapToGrid w:val="0"/>
          <w:color w:val="0D0D0D"/>
        </w:rPr>
        <w:t xml:space="preserve">     7.3.</w:t>
      </w:r>
      <w:r>
        <w:rPr>
          <w:snapToGrid w:val="0"/>
          <w:color w:val="0D0D0D"/>
        </w:rPr>
        <w:tab/>
        <w:t>Ja nepārvaramas varas apstākļu dēļ Līgums nedarbojas ilgāk par 3 (trim) mēnešiem, katrai Pusei ir tiesības atteikties no Līguma izpildes, par to rakstiski brīdinot otru Pusi vismaz 15 (piecpadsmit) dienas iepriekš. Šajā gadījumā neviena Līguma Puse nevar prasīt atlīdzināt zaudējumus, kas radušies Līguma izbeigšanas rezultātā.</w:t>
      </w:r>
    </w:p>
    <w:p w:rsidR="00CF3B8A" w:rsidRDefault="00CF3B8A" w:rsidP="00A1219F">
      <w:pPr>
        <w:pStyle w:val="Sarakstarindkopa1"/>
        <w:widowControl/>
        <w:numPr>
          <w:ilvl w:val="0"/>
          <w:numId w:val="3"/>
        </w:numPr>
        <w:autoSpaceDE/>
        <w:adjustRightInd/>
        <w:ind w:right="-1050"/>
        <w:jc w:val="center"/>
        <w:rPr>
          <w:b/>
          <w:color w:val="0D0D0D"/>
          <w:sz w:val="24"/>
          <w:szCs w:val="24"/>
          <w:lang w:eastAsia="ar-SA"/>
        </w:rPr>
      </w:pPr>
      <w:r>
        <w:rPr>
          <w:b/>
          <w:color w:val="0D0D0D"/>
          <w:sz w:val="24"/>
          <w:szCs w:val="24"/>
          <w:lang w:eastAsia="ar-SA"/>
        </w:rPr>
        <w:t>Strīdu izskatīšanas kārtība</w:t>
      </w:r>
    </w:p>
    <w:p w:rsidR="00CF3B8A" w:rsidRDefault="00CF3B8A" w:rsidP="00A1219F">
      <w:pPr>
        <w:ind w:right="-1050"/>
        <w:jc w:val="both"/>
        <w:rPr>
          <w:color w:val="0D0D0D"/>
          <w:lang w:eastAsia="ar-SA"/>
        </w:rPr>
      </w:pPr>
      <w:r>
        <w:rPr>
          <w:color w:val="0D0D0D"/>
          <w:lang w:eastAsia="ar-SA"/>
        </w:rPr>
        <w:t xml:space="preserve">     8.1.</w:t>
      </w:r>
      <w:r>
        <w:rPr>
          <w:color w:val="0D0D0D"/>
          <w:lang w:eastAsia="ar-SA"/>
        </w:rPr>
        <w:tab/>
        <w:t xml:space="preserve">Puses domstarpības, kas saistītas ar Līgumā paredzēto saistību izpildi, risina vienošanās ceļā. Vienošanos noformē </w:t>
      </w:r>
      <w:proofErr w:type="spellStart"/>
      <w:r>
        <w:rPr>
          <w:color w:val="0D0D0D"/>
          <w:lang w:eastAsia="ar-SA"/>
        </w:rPr>
        <w:t>rakstveidā</w:t>
      </w:r>
      <w:proofErr w:type="spellEnd"/>
      <w:r>
        <w:rPr>
          <w:color w:val="0D0D0D"/>
          <w:lang w:eastAsia="ar-SA"/>
        </w:rPr>
        <w:t>.</w:t>
      </w:r>
    </w:p>
    <w:p w:rsidR="00CF3B8A" w:rsidRDefault="00CF3B8A" w:rsidP="00A1219F">
      <w:pPr>
        <w:ind w:right="-1050"/>
        <w:jc w:val="both"/>
        <w:rPr>
          <w:color w:val="0D0D0D"/>
          <w:lang w:eastAsia="ar-SA"/>
        </w:rPr>
      </w:pPr>
      <w:r>
        <w:rPr>
          <w:color w:val="0D0D0D"/>
          <w:lang w:eastAsia="ar-SA"/>
        </w:rPr>
        <w:t xml:space="preserve">     8.2.</w:t>
      </w:r>
      <w:r>
        <w:rPr>
          <w:color w:val="0D0D0D"/>
          <w:lang w:eastAsia="ar-SA"/>
        </w:rPr>
        <w:tab/>
        <w:t xml:space="preserve">Ja Puses nevar vienoties, strīdu nodod izskatīšanai Latvijas Republikas tiesā normatīvajos aktos noteiktajā kārtībā, piemērojot Latvijas Republikā spēkā esošos normatīvos aktus. </w:t>
      </w:r>
    </w:p>
    <w:p w:rsidR="00CF3B8A" w:rsidRDefault="00CF3B8A" w:rsidP="00A1219F">
      <w:pPr>
        <w:spacing w:after="120"/>
        <w:ind w:left="567" w:right="-1050" w:hanging="567"/>
        <w:jc w:val="both"/>
        <w:rPr>
          <w:color w:val="0D0D0D"/>
          <w:lang w:eastAsia="ar-SA"/>
        </w:rPr>
      </w:pPr>
      <w:r>
        <w:rPr>
          <w:color w:val="0D0D0D"/>
          <w:lang w:eastAsia="ar-SA"/>
        </w:rPr>
        <w:t xml:space="preserve">     8.3.</w:t>
      </w:r>
      <w:r>
        <w:rPr>
          <w:color w:val="0D0D0D"/>
          <w:lang w:eastAsia="ar-SA"/>
        </w:rPr>
        <w:tab/>
        <w:t>Strīdi vai domstarpības Pušu starpā neatbrīvo tās no Līgumā noteikto saistību izpildes.</w:t>
      </w:r>
    </w:p>
    <w:p w:rsidR="00CF3B8A" w:rsidRDefault="00CF3B8A" w:rsidP="00AA265C">
      <w:pPr>
        <w:ind w:right="-1050"/>
        <w:jc w:val="center"/>
        <w:rPr>
          <w:b/>
          <w:color w:val="0D0D0D"/>
        </w:rPr>
      </w:pPr>
      <w:r>
        <w:rPr>
          <w:b/>
          <w:color w:val="0D0D0D"/>
        </w:rPr>
        <w:tab/>
        <w:t>9. Noslēguma noteikumi</w:t>
      </w:r>
    </w:p>
    <w:p w:rsidR="00CF3B8A" w:rsidRDefault="00CF3B8A" w:rsidP="00AA265C">
      <w:pPr>
        <w:ind w:right="-1050"/>
        <w:jc w:val="both"/>
        <w:rPr>
          <w:color w:val="0D0D0D"/>
        </w:rPr>
      </w:pPr>
      <w:r>
        <w:rPr>
          <w:color w:val="0D0D0D"/>
        </w:rPr>
        <w:t xml:space="preserve">     9.1.</w:t>
      </w:r>
      <w:r>
        <w:rPr>
          <w:color w:val="0D0D0D"/>
        </w:rPr>
        <w:tab/>
      </w:r>
      <w:r>
        <w:t xml:space="preserve">Līgums uzskatāms par noslēgtu ar tā parakstīšanas brīdi un ir spēkā līdz Pušu saistību pilnīgai izpildei. </w:t>
      </w:r>
    </w:p>
    <w:p w:rsidR="00CF3B8A" w:rsidRDefault="00CF3B8A" w:rsidP="00AA265C">
      <w:pPr>
        <w:ind w:right="-1050"/>
        <w:jc w:val="both"/>
      </w:pPr>
      <w:r>
        <w:rPr>
          <w:color w:val="0D0D0D"/>
        </w:rPr>
        <w:t xml:space="preserve">     9.2.</w:t>
      </w:r>
      <w:r>
        <w:rPr>
          <w:color w:val="0D0D0D"/>
        </w:rPr>
        <w:tab/>
      </w:r>
      <w:r>
        <w:t xml:space="preserve">Līgumu var grozīt vai papildināt, ievērojot Publisko iepirkumu likuma 61.panta prasības, noformējot rakstisku Pušu vienošanos, kura ar tās abpusēju parakstīšanu kļūst par Līguma neatņemamu sastāvdaļu. </w:t>
      </w:r>
    </w:p>
    <w:p w:rsidR="00CF3B8A" w:rsidRDefault="00CF3B8A" w:rsidP="00AA265C">
      <w:pPr>
        <w:ind w:right="-1050"/>
        <w:jc w:val="both"/>
        <w:rPr>
          <w:color w:val="0D0D0D"/>
        </w:rPr>
      </w:pPr>
      <w:r>
        <w:rPr>
          <w:color w:val="0D0D0D"/>
        </w:rPr>
        <w:t xml:space="preserve">     9.3.</w:t>
      </w:r>
      <w:r>
        <w:rPr>
          <w:color w:val="0D0D0D"/>
        </w:rPr>
        <w:tab/>
        <w:t>Puses apņemas nekavējoties rakstiski informēt viena otru par jebkādām grūtībām Līguma izpildes procesā, kas varētu aizkavēt savlaicīgu Pakalpojuma sniegšanu un Līguma izpildi.</w:t>
      </w:r>
    </w:p>
    <w:p w:rsidR="00CF3B8A" w:rsidRDefault="00CF3B8A" w:rsidP="00AA265C">
      <w:pPr>
        <w:pStyle w:val="BodyTextIndent2"/>
        <w:shd w:val="clear" w:color="auto" w:fill="FFFFFF"/>
        <w:spacing w:after="0" w:line="240" w:lineRule="auto"/>
        <w:ind w:left="0" w:right="-1050"/>
        <w:jc w:val="both"/>
      </w:pPr>
      <w:r>
        <w:rPr>
          <w:color w:val="0D0D0D"/>
        </w:rPr>
        <w:t xml:space="preserve">     9.4.</w:t>
      </w:r>
      <w:r>
        <w:rPr>
          <w:color w:val="0D0D0D"/>
        </w:rPr>
        <w:tab/>
      </w:r>
      <w:r>
        <w:t>Izpildītājam ir tiesības prasīt izbeigt Līguma darbību, ja Pasūtītājs neveic maksājumus un līgumsods sasniedz 10% (desmit procentus) no kopējās līgumcenas.</w:t>
      </w:r>
    </w:p>
    <w:p w:rsidR="00CF3B8A" w:rsidRDefault="00CF3B8A" w:rsidP="00AA265C">
      <w:pPr>
        <w:pStyle w:val="BodyTextIndent2"/>
        <w:shd w:val="clear" w:color="auto" w:fill="FFFFFF"/>
        <w:spacing w:after="0" w:line="240" w:lineRule="auto"/>
        <w:ind w:left="0" w:right="-1050"/>
        <w:jc w:val="both"/>
      </w:pPr>
      <w:r>
        <w:rPr>
          <w:color w:val="0D0D0D"/>
        </w:rPr>
        <w:t xml:space="preserve">     9.</w:t>
      </w:r>
      <w:r>
        <w:t>5.</w:t>
      </w:r>
      <w:r>
        <w:tab/>
        <w:t>Pasūtītājam ir tiesības vienpusēji atkāpties no Līguma, neatlīdzinot Izpildītājam tādējādi radušos zaudējumus, ja:</w:t>
      </w:r>
    </w:p>
    <w:p w:rsidR="00CF3B8A" w:rsidRDefault="00CF3B8A" w:rsidP="00AA265C">
      <w:pPr>
        <w:pStyle w:val="Sarakstarindkopa1"/>
        <w:widowControl/>
        <w:shd w:val="clear" w:color="auto" w:fill="FFFFFF"/>
        <w:autoSpaceDE/>
        <w:adjustRightInd/>
        <w:ind w:left="567" w:right="-1050" w:firstLine="142"/>
        <w:jc w:val="both"/>
        <w:rPr>
          <w:sz w:val="24"/>
          <w:szCs w:val="24"/>
        </w:rPr>
      </w:pPr>
      <w:r>
        <w:rPr>
          <w:sz w:val="24"/>
          <w:szCs w:val="24"/>
        </w:rPr>
        <w:t>9.5.1. Līguma 2.1.punktā noteiktais termiņš tiek kavēts ilgāk par 10 (desmit) darba dienām;</w:t>
      </w:r>
    </w:p>
    <w:p w:rsidR="00CF3B8A" w:rsidRDefault="00CF3B8A" w:rsidP="00AA265C">
      <w:pPr>
        <w:pStyle w:val="Sarakstarindkopa1"/>
        <w:widowControl/>
        <w:shd w:val="clear" w:color="auto" w:fill="FFFFFF"/>
        <w:autoSpaceDE/>
        <w:adjustRightInd/>
        <w:ind w:left="0" w:right="-1050" w:firstLine="709"/>
        <w:jc w:val="both"/>
        <w:rPr>
          <w:sz w:val="24"/>
          <w:szCs w:val="24"/>
        </w:rPr>
      </w:pPr>
      <w:r>
        <w:rPr>
          <w:sz w:val="24"/>
          <w:szCs w:val="24"/>
        </w:rPr>
        <w:t>9.5.2. Pasūtītāja noteiktajā termiņā netiek izlabotas kļūdas un trūkumi, par kuru labošanu ir atbildīgs Izpildītājs;</w:t>
      </w:r>
    </w:p>
    <w:p w:rsidR="00CF3B8A" w:rsidRDefault="00CF3B8A" w:rsidP="00AA265C">
      <w:pPr>
        <w:pStyle w:val="Sarakstarindkopa1"/>
        <w:widowControl/>
        <w:shd w:val="clear" w:color="auto" w:fill="FFFFFF"/>
        <w:autoSpaceDE/>
        <w:adjustRightInd/>
        <w:ind w:left="0" w:right="-1050" w:firstLine="709"/>
        <w:jc w:val="both"/>
        <w:rPr>
          <w:sz w:val="24"/>
          <w:szCs w:val="24"/>
        </w:rPr>
      </w:pPr>
      <w:r>
        <w:rPr>
          <w:sz w:val="24"/>
          <w:szCs w:val="24"/>
        </w:rPr>
        <w:t>9.5.3. Izpildītājam piemērotais līgumsods sasniedzis 10% (desmit procentus) no kopējās līgumcenas;</w:t>
      </w:r>
    </w:p>
    <w:p w:rsidR="00CF3B8A" w:rsidRDefault="00CF3B8A" w:rsidP="00AA265C">
      <w:pPr>
        <w:shd w:val="clear" w:color="auto" w:fill="FFFFFF"/>
        <w:tabs>
          <w:tab w:val="num" w:pos="1440"/>
        </w:tabs>
        <w:ind w:left="567" w:right="-1050" w:firstLine="142"/>
        <w:jc w:val="both"/>
      </w:pPr>
      <w:r>
        <w:t>9.5.4. Ja Pasūtītājs konstatē, ka Izpildītājs sniedz Pakalpojumu neatbilstoši Līguma mērķim.</w:t>
      </w:r>
    </w:p>
    <w:p w:rsidR="00CF3B8A" w:rsidRDefault="00CF3B8A" w:rsidP="00AA265C">
      <w:pPr>
        <w:ind w:right="-1050"/>
        <w:jc w:val="both"/>
        <w:rPr>
          <w:color w:val="0D0D0D"/>
        </w:rPr>
      </w:pPr>
      <w:r>
        <w:rPr>
          <w:color w:val="0D0D0D"/>
        </w:rPr>
        <w:t xml:space="preserve">     9.6.</w:t>
      </w:r>
      <w:r>
        <w:rPr>
          <w:color w:val="0D0D0D"/>
        </w:rPr>
        <w:tab/>
        <w:t xml:space="preserve">Puses apliecina, ka tām ir visas nepieciešamās pilnvaras un tiesības, lai slēgtu Līgumu, kā arī tām nav zināmi nekādi tiesiski vai faktiski šķēršļi vai iemesli, kas jebkādā veidā ietekmētu vai aizliegtu uzņemties Līgumā minēto pienākumu izpildi. </w:t>
      </w:r>
    </w:p>
    <w:p w:rsidR="00CF3B8A" w:rsidRDefault="00CF3B8A" w:rsidP="00AA265C">
      <w:pPr>
        <w:ind w:right="-1050"/>
        <w:jc w:val="both"/>
        <w:rPr>
          <w:color w:val="0D0D0D"/>
        </w:rPr>
      </w:pPr>
      <w:r>
        <w:rPr>
          <w:color w:val="0D0D0D"/>
        </w:rPr>
        <w:t xml:space="preserve">     9.7.</w:t>
      </w:r>
      <w:r>
        <w:rPr>
          <w:color w:val="0D0D0D"/>
        </w:rPr>
        <w:tab/>
        <w:t>Kādam no Līguma noteikumiem zaudējot spēku normatīvo aktu grozījumu gadījumā, Līgums nezaudē spēku tā pārējos punktos.</w:t>
      </w:r>
    </w:p>
    <w:p w:rsidR="00CF3B8A" w:rsidRDefault="00CF3B8A" w:rsidP="00AA265C">
      <w:pPr>
        <w:ind w:right="-1050" w:firstLine="284"/>
        <w:jc w:val="both"/>
      </w:pPr>
      <w:r>
        <w:rPr>
          <w:color w:val="0D0D0D"/>
        </w:rPr>
        <w:t>9.8.</w:t>
      </w:r>
      <w:r>
        <w:rPr>
          <w:color w:val="00000A"/>
        </w:rPr>
        <w:tab/>
        <w:t xml:space="preserve">Visi Līguma pielikumi, kas sastādīti </w:t>
      </w:r>
      <w:proofErr w:type="spellStart"/>
      <w:r>
        <w:rPr>
          <w:color w:val="00000A"/>
        </w:rPr>
        <w:t>rakstveidā</w:t>
      </w:r>
      <w:proofErr w:type="spellEnd"/>
      <w:r>
        <w:rPr>
          <w:color w:val="00000A"/>
        </w:rPr>
        <w:t xml:space="preserve"> un ir abu Pušu parakstīti, ir Līguma neatņemamas sastāvdaļas.</w:t>
      </w:r>
    </w:p>
    <w:p w:rsidR="00CF3B8A" w:rsidRDefault="00CF3B8A" w:rsidP="007B7B2D">
      <w:pPr>
        <w:spacing w:after="120"/>
        <w:ind w:right="-1050"/>
        <w:jc w:val="both"/>
        <w:rPr>
          <w:color w:val="0D0D0D"/>
        </w:rPr>
      </w:pPr>
      <w:r>
        <w:rPr>
          <w:color w:val="0D0D0D"/>
        </w:rPr>
        <w:t xml:space="preserve">     9.9.</w:t>
      </w:r>
      <w:r>
        <w:rPr>
          <w:color w:val="0D0D0D"/>
        </w:rPr>
        <w:tab/>
        <w:t xml:space="preserve">Līgums ir sastādīts latviešu valodā uz </w:t>
      </w:r>
      <w:r w:rsidR="005C4EBB">
        <w:rPr>
          <w:color w:val="0D0D0D"/>
        </w:rPr>
        <w:t>4</w:t>
      </w:r>
      <w:r>
        <w:rPr>
          <w:color w:val="0D0D0D"/>
        </w:rPr>
        <w:t xml:space="preserve"> (</w:t>
      </w:r>
      <w:r w:rsidR="005C4EBB">
        <w:rPr>
          <w:color w:val="0D0D0D"/>
        </w:rPr>
        <w:t>četrām</w:t>
      </w:r>
      <w:r>
        <w:rPr>
          <w:color w:val="0D0D0D"/>
        </w:rPr>
        <w:t xml:space="preserve">) lapām ar 3 (trim) pielikumiem, no kuriem: pielikums Nr.1 – uz </w:t>
      </w:r>
      <w:r w:rsidR="005C4EBB">
        <w:rPr>
          <w:color w:val="0D0D0D"/>
        </w:rPr>
        <w:t>5</w:t>
      </w:r>
      <w:r>
        <w:rPr>
          <w:color w:val="0D0D0D"/>
        </w:rPr>
        <w:t xml:space="preserve"> (</w:t>
      </w:r>
      <w:r w:rsidR="005C4EBB">
        <w:rPr>
          <w:color w:val="0D0D0D"/>
        </w:rPr>
        <w:t>piecām</w:t>
      </w:r>
      <w:r>
        <w:rPr>
          <w:color w:val="0D0D0D"/>
        </w:rPr>
        <w:t xml:space="preserve">) lapām, pielikums Nr.2 – uz </w:t>
      </w:r>
      <w:r w:rsidR="005C4EBB">
        <w:rPr>
          <w:color w:val="0D0D0D"/>
        </w:rPr>
        <w:t>15</w:t>
      </w:r>
      <w:r>
        <w:rPr>
          <w:color w:val="0D0D0D"/>
        </w:rPr>
        <w:t xml:space="preserve"> (</w:t>
      </w:r>
      <w:r w:rsidR="005C4EBB">
        <w:rPr>
          <w:color w:val="0D0D0D"/>
        </w:rPr>
        <w:t>piecpadsmit</w:t>
      </w:r>
      <w:r>
        <w:rPr>
          <w:color w:val="0D0D0D"/>
        </w:rPr>
        <w:t xml:space="preserve">) lapām, pielikums Nr.3 – uz </w:t>
      </w:r>
      <w:r w:rsidR="005C4EBB">
        <w:rPr>
          <w:color w:val="0D0D0D"/>
        </w:rPr>
        <w:t>3</w:t>
      </w:r>
      <w:r>
        <w:rPr>
          <w:color w:val="0D0D0D"/>
        </w:rPr>
        <w:t xml:space="preserve"> (</w:t>
      </w:r>
      <w:r w:rsidR="005C4EBB">
        <w:rPr>
          <w:color w:val="0D0D0D"/>
        </w:rPr>
        <w:t>trim</w:t>
      </w:r>
      <w:r>
        <w:rPr>
          <w:color w:val="0D0D0D"/>
        </w:rPr>
        <w:t>) lapām, 2 (divos) eksemplāros ar vienādu juridisko spēku, katrai Pusei pa vienam eksemplāram.</w:t>
      </w:r>
    </w:p>
    <w:p w:rsidR="00CF3B8A" w:rsidRDefault="00CF3B8A" w:rsidP="007B7B2D">
      <w:pPr>
        <w:ind w:right="-1050"/>
        <w:jc w:val="center"/>
        <w:rPr>
          <w:b/>
          <w:color w:val="0D0D0D"/>
        </w:rPr>
      </w:pPr>
      <w:r>
        <w:rPr>
          <w:b/>
          <w:color w:val="0D0D0D"/>
        </w:rPr>
        <w:lastRenderedPageBreak/>
        <w:t>10. Pušu rekvizīti un paraksti</w:t>
      </w:r>
    </w:p>
    <w:tbl>
      <w:tblPr>
        <w:tblW w:w="9498" w:type="dxa"/>
        <w:tblInd w:w="-5" w:type="dxa"/>
        <w:tblLook w:val="04A0" w:firstRow="1" w:lastRow="0" w:firstColumn="1" w:lastColumn="0" w:noHBand="0" w:noVBand="1"/>
      </w:tblPr>
      <w:tblGrid>
        <w:gridCol w:w="5009"/>
        <w:gridCol w:w="4489"/>
      </w:tblGrid>
      <w:tr w:rsidR="00CF3B8A" w:rsidTr="00473B6B">
        <w:tc>
          <w:tcPr>
            <w:tcW w:w="5009" w:type="dxa"/>
            <w:hideMark/>
          </w:tcPr>
          <w:p w:rsidR="00CF3B8A" w:rsidRDefault="00CF3B8A">
            <w:pPr>
              <w:pStyle w:val="Apakpunkts"/>
              <w:numPr>
                <w:ilvl w:val="0"/>
                <w:numId w:val="0"/>
              </w:numPr>
              <w:tabs>
                <w:tab w:val="left" w:pos="720"/>
              </w:tabs>
              <w:jc w:val="both"/>
              <w:rPr>
                <w:rFonts w:ascii="Times New Roman" w:hAnsi="Times New Roman"/>
                <w:b w:val="0"/>
                <w:sz w:val="24"/>
              </w:rPr>
            </w:pPr>
            <w:r>
              <w:rPr>
                <w:rFonts w:ascii="Times New Roman" w:hAnsi="Times New Roman"/>
                <w:b w:val="0"/>
                <w:sz w:val="24"/>
              </w:rPr>
              <w:t>PASŪTĪTĀJS</w:t>
            </w:r>
          </w:p>
        </w:tc>
        <w:tc>
          <w:tcPr>
            <w:tcW w:w="4489" w:type="dxa"/>
            <w:hideMark/>
          </w:tcPr>
          <w:p w:rsidR="00CF3B8A" w:rsidRDefault="00CF3B8A">
            <w:pPr>
              <w:pStyle w:val="Apakpunkts"/>
              <w:numPr>
                <w:ilvl w:val="0"/>
                <w:numId w:val="0"/>
              </w:numPr>
              <w:tabs>
                <w:tab w:val="left" w:pos="720"/>
              </w:tabs>
              <w:jc w:val="both"/>
              <w:rPr>
                <w:rFonts w:ascii="Times New Roman" w:hAnsi="Times New Roman"/>
                <w:b w:val="0"/>
                <w:sz w:val="24"/>
              </w:rPr>
            </w:pPr>
            <w:r>
              <w:rPr>
                <w:rFonts w:ascii="Times New Roman" w:hAnsi="Times New Roman"/>
                <w:b w:val="0"/>
                <w:sz w:val="24"/>
              </w:rPr>
              <w:t>IZPILDDĪTĀJS</w:t>
            </w:r>
          </w:p>
        </w:tc>
      </w:tr>
      <w:tr w:rsidR="00CF3B8A" w:rsidTr="00473B6B">
        <w:tc>
          <w:tcPr>
            <w:tcW w:w="5009" w:type="dxa"/>
            <w:hideMark/>
          </w:tcPr>
          <w:p w:rsidR="00CF3B8A" w:rsidRDefault="00CF3B8A">
            <w:pPr>
              <w:pStyle w:val="Apakpunkts"/>
              <w:numPr>
                <w:ilvl w:val="0"/>
                <w:numId w:val="0"/>
              </w:numPr>
              <w:tabs>
                <w:tab w:val="left" w:pos="720"/>
              </w:tabs>
              <w:jc w:val="both"/>
              <w:rPr>
                <w:rFonts w:ascii="Times New Roman" w:hAnsi="Times New Roman"/>
                <w:sz w:val="24"/>
              </w:rPr>
            </w:pPr>
            <w:r>
              <w:rPr>
                <w:rFonts w:ascii="Times New Roman" w:hAnsi="Times New Roman"/>
                <w:sz w:val="24"/>
              </w:rPr>
              <w:t>Rēzeknes novada pašvaldība</w:t>
            </w:r>
          </w:p>
        </w:tc>
        <w:tc>
          <w:tcPr>
            <w:tcW w:w="4489" w:type="dxa"/>
            <w:hideMark/>
          </w:tcPr>
          <w:p w:rsidR="00CF3B8A" w:rsidRPr="00683457" w:rsidRDefault="00683457">
            <w:pPr>
              <w:pStyle w:val="Apakpunkts"/>
              <w:numPr>
                <w:ilvl w:val="0"/>
                <w:numId w:val="0"/>
              </w:numPr>
              <w:tabs>
                <w:tab w:val="left" w:pos="720"/>
              </w:tabs>
              <w:jc w:val="both"/>
              <w:rPr>
                <w:rFonts w:ascii="Times New Roman" w:hAnsi="Times New Roman"/>
                <w:sz w:val="24"/>
              </w:rPr>
            </w:pPr>
            <w:r w:rsidRPr="00683457">
              <w:rPr>
                <w:rFonts w:ascii="Times New Roman" w:hAnsi="Times New Roman"/>
                <w:sz w:val="24"/>
              </w:rPr>
              <w:t>SIA “Reģionālie projekti”</w:t>
            </w:r>
          </w:p>
        </w:tc>
      </w:tr>
      <w:tr w:rsidR="00CF3B8A" w:rsidTr="00473B6B">
        <w:tc>
          <w:tcPr>
            <w:tcW w:w="5009" w:type="dxa"/>
            <w:hideMark/>
          </w:tcPr>
          <w:p w:rsidR="00CF3B8A" w:rsidRDefault="00CF3B8A">
            <w:pPr>
              <w:pStyle w:val="Apakpunkts"/>
              <w:numPr>
                <w:ilvl w:val="0"/>
                <w:numId w:val="0"/>
              </w:numPr>
              <w:tabs>
                <w:tab w:val="left" w:pos="720"/>
              </w:tabs>
              <w:jc w:val="both"/>
              <w:rPr>
                <w:rFonts w:ascii="Times New Roman" w:hAnsi="Times New Roman"/>
                <w:b w:val="0"/>
                <w:sz w:val="24"/>
              </w:rPr>
            </w:pPr>
            <w:r>
              <w:rPr>
                <w:rFonts w:ascii="Times New Roman" w:hAnsi="Times New Roman"/>
                <w:b w:val="0"/>
                <w:sz w:val="24"/>
              </w:rPr>
              <w:t>reģ.Nr.90009112679</w:t>
            </w:r>
          </w:p>
        </w:tc>
        <w:tc>
          <w:tcPr>
            <w:tcW w:w="4489" w:type="dxa"/>
            <w:hideMark/>
          </w:tcPr>
          <w:p w:rsidR="00CF3B8A" w:rsidRDefault="00CF3B8A">
            <w:pPr>
              <w:pStyle w:val="Apakpunkts"/>
              <w:numPr>
                <w:ilvl w:val="0"/>
                <w:numId w:val="0"/>
              </w:numPr>
              <w:tabs>
                <w:tab w:val="left" w:pos="720"/>
              </w:tabs>
              <w:jc w:val="both"/>
              <w:rPr>
                <w:rFonts w:ascii="Times New Roman" w:hAnsi="Times New Roman"/>
                <w:b w:val="0"/>
                <w:sz w:val="24"/>
              </w:rPr>
            </w:pPr>
            <w:r>
              <w:rPr>
                <w:rFonts w:ascii="Times New Roman" w:hAnsi="Times New Roman"/>
                <w:b w:val="0"/>
                <w:sz w:val="24"/>
              </w:rPr>
              <w:t>reģ.Nr.</w:t>
            </w:r>
            <w:r w:rsidR="00683457">
              <w:rPr>
                <w:rFonts w:ascii="Times New Roman" w:hAnsi="Times New Roman"/>
                <w:b w:val="0"/>
                <w:sz w:val="24"/>
              </w:rPr>
              <w:t>40003404474</w:t>
            </w:r>
          </w:p>
        </w:tc>
      </w:tr>
      <w:tr w:rsidR="00CF3B8A" w:rsidTr="001F692C">
        <w:tc>
          <w:tcPr>
            <w:tcW w:w="5009" w:type="dxa"/>
          </w:tcPr>
          <w:p w:rsidR="00CF3B8A" w:rsidRDefault="00CF3B8A">
            <w:pPr>
              <w:pStyle w:val="Apakpunkts"/>
              <w:numPr>
                <w:ilvl w:val="0"/>
                <w:numId w:val="0"/>
              </w:numPr>
              <w:tabs>
                <w:tab w:val="left" w:pos="720"/>
              </w:tabs>
              <w:jc w:val="both"/>
              <w:rPr>
                <w:rFonts w:ascii="Times New Roman" w:hAnsi="Times New Roman"/>
                <w:b w:val="0"/>
                <w:sz w:val="24"/>
              </w:rPr>
            </w:pPr>
          </w:p>
        </w:tc>
        <w:tc>
          <w:tcPr>
            <w:tcW w:w="4489" w:type="dxa"/>
          </w:tcPr>
          <w:p w:rsidR="00CF3B8A" w:rsidRDefault="00CF3B8A">
            <w:pPr>
              <w:pStyle w:val="Apakpunkts"/>
              <w:numPr>
                <w:ilvl w:val="0"/>
                <w:numId w:val="0"/>
              </w:numPr>
              <w:tabs>
                <w:tab w:val="left" w:pos="720"/>
              </w:tabs>
              <w:jc w:val="both"/>
              <w:rPr>
                <w:rFonts w:ascii="Times New Roman" w:hAnsi="Times New Roman"/>
                <w:b w:val="0"/>
                <w:sz w:val="24"/>
              </w:rPr>
            </w:pPr>
          </w:p>
        </w:tc>
      </w:tr>
      <w:tr w:rsidR="00CF3B8A" w:rsidTr="001F692C">
        <w:tc>
          <w:tcPr>
            <w:tcW w:w="5009" w:type="dxa"/>
          </w:tcPr>
          <w:p w:rsidR="00CF3B8A" w:rsidRDefault="00CF3B8A">
            <w:pPr>
              <w:pStyle w:val="Apakpunkts"/>
              <w:numPr>
                <w:ilvl w:val="0"/>
                <w:numId w:val="0"/>
              </w:numPr>
              <w:tabs>
                <w:tab w:val="left" w:pos="720"/>
              </w:tabs>
              <w:jc w:val="both"/>
              <w:rPr>
                <w:rFonts w:ascii="Times New Roman" w:hAnsi="Times New Roman"/>
                <w:b w:val="0"/>
                <w:sz w:val="24"/>
              </w:rPr>
            </w:pPr>
          </w:p>
        </w:tc>
        <w:tc>
          <w:tcPr>
            <w:tcW w:w="4489" w:type="dxa"/>
          </w:tcPr>
          <w:p w:rsidR="00CF3B8A" w:rsidRDefault="00CF3B8A">
            <w:pPr>
              <w:pStyle w:val="Apakpunkts"/>
              <w:numPr>
                <w:ilvl w:val="0"/>
                <w:numId w:val="0"/>
              </w:numPr>
              <w:tabs>
                <w:tab w:val="left" w:pos="720"/>
              </w:tabs>
              <w:jc w:val="both"/>
              <w:rPr>
                <w:rFonts w:ascii="Times New Roman" w:hAnsi="Times New Roman"/>
                <w:b w:val="0"/>
                <w:sz w:val="24"/>
              </w:rPr>
            </w:pPr>
          </w:p>
        </w:tc>
      </w:tr>
      <w:tr w:rsidR="00CF3B8A" w:rsidTr="001F692C">
        <w:tc>
          <w:tcPr>
            <w:tcW w:w="5009" w:type="dxa"/>
          </w:tcPr>
          <w:p w:rsidR="00CF3B8A" w:rsidRDefault="00CF3B8A">
            <w:pPr>
              <w:pStyle w:val="Apakpunkts"/>
              <w:numPr>
                <w:ilvl w:val="0"/>
                <w:numId w:val="0"/>
              </w:numPr>
              <w:tabs>
                <w:tab w:val="left" w:pos="720"/>
              </w:tabs>
              <w:jc w:val="both"/>
              <w:rPr>
                <w:rFonts w:ascii="Times New Roman" w:hAnsi="Times New Roman"/>
                <w:b w:val="0"/>
                <w:sz w:val="24"/>
              </w:rPr>
            </w:pPr>
          </w:p>
        </w:tc>
        <w:tc>
          <w:tcPr>
            <w:tcW w:w="4489" w:type="dxa"/>
          </w:tcPr>
          <w:p w:rsidR="00CF3B8A" w:rsidRDefault="00CF3B8A">
            <w:pPr>
              <w:pStyle w:val="Apakpunkts"/>
              <w:numPr>
                <w:ilvl w:val="0"/>
                <w:numId w:val="0"/>
              </w:numPr>
              <w:tabs>
                <w:tab w:val="left" w:pos="720"/>
              </w:tabs>
              <w:jc w:val="both"/>
              <w:rPr>
                <w:rFonts w:ascii="Times New Roman" w:hAnsi="Times New Roman"/>
                <w:b w:val="0"/>
                <w:sz w:val="24"/>
              </w:rPr>
            </w:pPr>
          </w:p>
        </w:tc>
      </w:tr>
      <w:tr w:rsidR="00CF3B8A" w:rsidTr="001F692C">
        <w:tc>
          <w:tcPr>
            <w:tcW w:w="5009" w:type="dxa"/>
          </w:tcPr>
          <w:p w:rsidR="00CF3B8A" w:rsidRDefault="00CF3B8A">
            <w:pPr>
              <w:pStyle w:val="Apakpunkts"/>
              <w:numPr>
                <w:ilvl w:val="0"/>
                <w:numId w:val="0"/>
              </w:numPr>
              <w:tabs>
                <w:tab w:val="left" w:pos="720"/>
              </w:tabs>
              <w:jc w:val="both"/>
              <w:rPr>
                <w:rFonts w:ascii="Times New Roman" w:hAnsi="Times New Roman"/>
                <w:b w:val="0"/>
                <w:sz w:val="24"/>
              </w:rPr>
            </w:pPr>
          </w:p>
        </w:tc>
        <w:tc>
          <w:tcPr>
            <w:tcW w:w="4489" w:type="dxa"/>
          </w:tcPr>
          <w:p w:rsidR="00CF3B8A" w:rsidRDefault="00CF3B8A">
            <w:pPr>
              <w:pStyle w:val="Apakpunkts"/>
              <w:numPr>
                <w:ilvl w:val="0"/>
                <w:numId w:val="0"/>
              </w:numPr>
              <w:tabs>
                <w:tab w:val="left" w:pos="720"/>
              </w:tabs>
              <w:jc w:val="both"/>
              <w:rPr>
                <w:rFonts w:ascii="Times New Roman" w:hAnsi="Times New Roman"/>
                <w:sz w:val="24"/>
              </w:rPr>
            </w:pPr>
          </w:p>
        </w:tc>
      </w:tr>
      <w:tr w:rsidR="00CF3B8A" w:rsidTr="00473B6B">
        <w:tc>
          <w:tcPr>
            <w:tcW w:w="5009" w:type="dxa"/>
          </w:tcPr>
          <w:p w:rsidR="00CF3B8A" w:rsidRDefault="00CF3B8A">
            <w:pPr>
              <w:pStyle w:val="Apakpunkts"/>
              <w:numPr>
                <w:ilvl w:val="0"/>
                <w:numId w:val="0"/>
              </w:numPr>
              <w:tabs>
                <w:tab w:val="left" w:pos="720"/>
              </w:tabs>
              <w:jc w:val="both"/>
              <w:rPr>
                <w:rFonts w:ascii="Times New Roman" w:hAnsi="Times New Roman"/>
                <w:sz w:val="24"/>
              </w:rPr>
            </w:pPr>
          </w:p>
        </w:tc>
        <w:tc>
          <w:tcPr>
            <w:tcW w:w="4489" w:type="dxa"/>
          </w:tcPr>
          <w:p w:rsidR="00CF3B8A" w:rsidRDefault="00CF3B8A">
            <w:pPr>
              <w:pStyle w:val="Apakpunkts"/>
              <w:numPr>
                <w:ilvl w:val="0"/>
                <w:numId w:val="0"/>
              </w:numPr>
              <w:tabs>
                <w:tab w:val="left" w:pos="720"/>
              </w:tabs>
              <w:jc w:val="both"/>
              <w:rPr>
                <w:rFonts w:ascii="Times New Roman" w:hAnsi="Times New Roman"/>
                <w:sz w:val="24"/>
              </w:rPr>
            </w:pPr>
          </w:p>
        </w:tc>
      </w:tr>
      <w:tr w:rsidR="00CF3B8A" w:rsidTr="001F692C">
        <w:tc>
          <w:tcPr>
            <w:tcW w:w="5009" w:type="dxa"/>
          </w:tcPr>
          <w:p w:rsidR="00CF3B8A" w:rsidRDefault="00CF3B8A">
            <w:pPr>
              <w:pStyle w:val="Apakpunkts"/>
              <w:numPr>
                <w:ilvl w:val="0"/>
                <w:numId w:val="0"/>
              </w:numPr>
              <w:tabs>
                <w:tab w:val="left" w:pos="720"/>
              </w:tabs>
              <w:jc w:val="both"/>
              <w:rPr>
                <w:rFonts w:ascii="Times New Roman" w:hAnsi="Times New Roman"/>
                <w:b w:val="0"/>
                <w:sz w:val="24"/>
              </w:rPr>
            </w:pPr>
          </w:p>
        </w:tc>
        <w:tc>
          <w:tcPr>
            <w:tcW w:w="4489" w:type="dxa"/>
          </w:tcPr>
          <w:p w:rsidR="00CF3B8A" w:rsidRDefault="00CF3B8A">
            <w:pPr>
              <w:pStyle w:val="Apakpunkts"/>
              <w:numPr>
                <w:ilvl w:val="0"/>
                <w:numId w:val="0"/>
              </w:numPr>
              <w:tabs>
                <w:tab w:val="left" w:pos="720"/>
              </w:tabs>
              <w:jc w:val="both"/>
              <w:rPr>
                <w:rFonts w:ascii="Times New Roman" w:hAnsi="Times New Roman"/>
                <w:b w:val="0"/>
                <w:sz w:val="24"/>
              </w:rPr>
            </w:pPr>
          </w:p>
        </w:tc>
      </w:tr>
    </w:tbl>
    <w:p w:rsidR="00CF3B8A" w:rsidRDefault="00CF3B8A" w:rsidP="00CF3B8A">
      <w:pPr>
        <w:pStyle w:val="Apakpunkts"/>
        <w:numPr>
          <w:ilvl w:val="0"/>
          <w:numId w:val="0"/>
        </w:numPr>
        <w:tabs>
          <w:tab w:val="left" w:pos="720"/>
        </w:tabs>
        <w:ind w:left="851" w:hanging="851"/>
        <w:jc w:val="both"/>
        <w:rPr>
          <w:rFonts w:ascii="Times New Roman" w:hAnsi="Times New Roman"/>
          <w:sz w:val="24"/>
        </w:rPr>
      </w:pPr>
    </w:p>
    <w:p w:rsidR="00CF3B8A" w:rsidRDefault="00CF3B8A" w:rsidP="00CF3B8A">
      <w:pPr>
        <w:pStyle w:val="Punkts"/>
        <w:numPr>
          <w:ilvl w:val="0"/>
          <w:numId w:val="0"/>
        </w:numPr>
        <w:tabs>
          <w:tab w:val="left" w:pos="720"/>
        </w:tabs>
        <w:jc w:val="center"/>
        <w:rPr>
          <w:rFonts w:ascii="Times New Roman" w:hAnsi="Times New Roman"/>
          <w:sz w:val="24"/>
        </w:rPr>
      </w:pPr>
    </w:p>
    <w:p w:rsidR="00CF3B8A" w:rsidRDefault="00CF3B8A" w:rsidP="00CF3B8A">
      <w:pPr>
        <w:pStyle w:val="Punkts"/>
        <w:numPr>
          <w:ilvl w:val="0"/>
          <w:numId w:val="0"/>
        </w:numPr>
        <w:tabs>
          <w:tab w:val="left" w:pos="720"/>
        </w:tabs>
        <w:jc w:val="center"/>
        <w:rPr>
          <w:rFonts w:ascii="Times New Roman" w:hAnsi="Times New Roman"/>
          <w:sz w:val="24"/>
        </w:rPr>
      </w:pPr>
    </w:p>
    <w:p w:rsidR="00CF3B8A" w:rsidRDefault="00CF3B8A" w:rsidP="00CF3B8A">
      <w:pPr>
        <w:pStyle w:val="Punkts"/>
        <w:numPr>
          <w:ilvl w:val="0"/>
          <w:numId w:val="0"/>
        </w:numPr>
        <w:tabs>
          <w:tab w:val="left" w:pos="720"/>
        </w:tabs>
        <w:jc w:val="center"/>
        <w:rPr>
          <w:rFonts w:ascii="Times New Roman" w:hAnsi="Times New Roman"/>
          <w:sz w:val="24"/>
        </w:rPr>
      </w:pPr>
    </w:p>
    <w:p w:rsidR="00CF3B8A" w:rsidRDefault="00CF3B8A" w:rsidP="00CF3B8A">
      <w:pPr>
        <w:pStyle w:val="Punkts"/>
        <w:numPr>
          <w:ilvl w:val="0"/>
          <w:numId w:val="0"/>
        </w:numPr>
        <w:tabs>
          <w:tab w:val="left" w:pos="720"/>
        </w:tabs>
        <w:jc w:val="center"/>
        <w:rPr>
          <w:rFonts w:ascii="Times New Roman" w:hAnsi="Times New Roman"/>
          <w:sz w:val="24"/>
        </w:rPr>
      </w:pPr>
    </w:p>
    <w:p w:rsidR="00CF3B8A" w:rsidRDefault="00CF3B8A" w:rsidP="00CF3B8A">
      <w:pPr>
        <w:pStyle w:val="Punkts"/>
        <w:numPr>
          <w:ilvl w:val="0"/>
          <w:numId w:val="0"/>
        </w:numPr>
        <w:tabs>
          <w:tab w:val="left" w:pos="720"/>
        </w:tabs>
        <w:jc w:val="center"/>
        <w:rPr>
          <w:rFonts w:ascii="Times New Roman" w:hAnsi="Times New Roman"/>
          <w:sz w:val="24"/>
        </w:rPr>
      </w:pPr>
    </w:p>
    <w:p w:rsidR="00CF3B8A" w:rsidRDefault="00CF3B8A" w:rsidP="00CF3B8A">
      <w:pPr>
        <w:pStyle w:val="Punkts"/>
        <w:numPr>
          <w:ilvl w:val="0"/>
          <w:numId w:val="0"/>
        </w:numPr>
        <w:tabs>
          <w:tab w:val="left" w:pos="720"/>
        </w:tabs>
        <w:jc w:val="center"/>
        <w:rPr>
          <w:rFonts w:ascii="Times New Roman" w:hAnsi="Times New Roman"/>
          <w:sz w:val="24"/>
        </w:rPr>
      </w:pPr>
    </w:p>
    <w:p w:rsidR="00CF3B8A" w:rsidRDefault="00CF3B8A" w:rsidP="00CF3B8A">
      <w:pPr>
        <w:pStyle w:val="Punkts"/>
        <w:numPr>
          <w:ilvl w:val="0"/>
          <w:numId w:val="0"/>
        </w:numPr>
        <w:tabs>
          <w:tab w:val="left" w:pos="720"/>
        </w:tabs>
        <w:jc w:val="center"/>
        <w:rPr>
          <w:rFonts w:ascii="Times New Roman" w:hAnsi="Times New Roman"/>
          <w:sz w:val="24"/>
        </w:rPr>
      </w:pPr>
    </w:p>
    <w:p w:rsidR="00CF3B8A" w:rsidRDefault="00CF3B8A" w:rsidP="00CF3B8A">
      <w:pPr>
        <w:pStyle w:val="Punkts"/>
        <w:numPr>
          <w:ilvl w:val="0"/>
          <w:numId w:val="0"/>
        </w:numPr>
        <w:tabs>
          <w:tab w:val="left" w:pos="720"/>
        </w:tabs>
        <w:jc w:val="center"/>
        <w:rPr>
          <w:rFonts w:ascii="Times New Roman" w:hAnsi="Times New Roman"/>
          <w:sz w:val="24"/>
        </w:rPr>
      </w:pPr>
    </w:p>
    <w:p w:rsidR="00CF3B8A" w:rsidRDefault="00CF3B8A" w:rsidP="00CF3B8A">
      <w:pPr>
        <w:pStyle w:val="Punkts"/>
        <w:numPr>
          <w:ilvl w:val="0"/>
          <w:numId w:val="0"/>
        </w:numPr>
        <w:tabs>
          <w:tab w:val="left" w:pos="720"/>
        </w:tabs>
        <w:jc w:val="center"/>
        <w:rPr>
          <w:rFonts w:ascii="Times New Roman" w:hAnsi="Times New Roman"/>
          <w:sz w:val="24"/>
        </w:rPr>
      </w:pPr>
    </w:p>
    <w:p w:rsidR="00CF3B8A" w:rsidRDefault="00CF3B8A" w:rsidP="00CF3B8A">
      <w:pPr>
        <w:pStyle w:val="Punkts"/>
        <w:numPr>
          <w:ilvl w:val="0"/>
          <w:numId w:val="0"/>
        </w:numPr>
        <w:tabs>
          <w:tab w:val="left" w:pos="720"/>
        </w:tabs>
        <w:jc w:val="center"/>
        <w:rPr>
          <w:rFonts w:ascii="Times New Roman" w:hAnsi="Times New Roman"/>
          <w:sz w:val="24"/>
        </w:rPr>
      </w:pPr>
    </w:p>
    <w:p w:rsidR="00CF3B8A" w:rsidRDefault="00CF3B8A" w:rsidP="00CF3B8A">
      <w:pPr>
        <w:pStyle w:val="Punkts"/>
        <w:numPr>
          <w:ilvl w:val="0"/>
          <w:numId w:val="0"/>
        </w:numPr>
        <w:tabs>
          <w:tab w:val="left" w:pos="720"/>
        </w:tabs>
        <w:jc w:val="right"/>
        <w:rPr>
          <w:rFonts w:ascii="Times New Roman" w:hAnsi="Times New Roman"/>
          <w:sz w:val="24"/>
        </w:rPr>
      </w:pPr>
    </w:p>
    <w:p w:rsidR="00CF3B8A" w:rsidRDefault="00CF3B8A" w:rsidP="00CF3B8A">
      <w:pPr>
        <w:pStyle w:val="Punkts"/>
        <w:numPr>
          <w:ilvl w:val="0"/>
          <w:numId w:val="0"/>
        </w:numPr>
        <w:tabs>
          <w:tab w:val="left" w:pos="720"/>
        </w:tabs>
        <w:jc w:val="right"/>
        <w:rPr>
          <w:rFonts w:ascii="Times New Roman" w:hAnsi="Times New Roman"/>
          <w:sz w:val="24"/>
        </w:rPr>
      </w:pPr>
    </w:p>
    <w:p w:rsidR="00CF3B8A" w:rsidRDefault="00CF3B8A" w:rsidP="00CF3B8A">
      <w:pPr>
        <w:pStyle w:val="Punkts"/>
        <w:numPr>
          <w:ilvl w:val="0"/>
          <w:numId w:val="0"/>
        </w:numPr>
        <w:tabs>
          <w:tab w:val="left" w:pos="720"/>
        </w:tabs>
        <w:jc w:val="right"/>
        <w:rPr>
          <w:rFonts w:ascii="Times New Roman" w:hAnsi="Times New Roman"/>
          <w:sz w:val="24"/>
        </w:rPr>
      </w:pPr>
    </w:p>
    <w:p w:rsidR="00CF3B8A" w:rsidRDefault="00CF3B8A" w:rsidP="00CF3B8A">
      <w:pPr>
        <w:pStyle w:val="Punkts"/>
        <w:numPr>
          <w:ilvl w:val="0"/>
          <w:numId w:val="0"/>
        </w:numPr>
        <w:tabs>
          <w:tab w:val="left" w:pos="720"/>
        </w:tabs>
        <w:jc w:val="right"/>
        <w:rPr>
          <w:rFonts w:ascii="Times New Roman" w:hAnsi="Times New Roman"/>
          <w:sz w:val="24"/>
        </w:rPr>
      </w:pPr>
    </w:p>
    <w:p w:rsidR="00CF3B8A" w:rsidRDefault="00CF3B8A" w:rsidP="00CF3B8A">
      <w:pPr>
        <w:pStyle w:val="Punkts"/>
        <w:numPr>
          <w:ilvl w:val="0"/>
          <w:numId w:val="0"/>
        </w:numPr>
        <w:tabs>
          <w:tab w:val="left" w:pos="720"/>
        </w:tabs>
        <w:jc w:val="right"/>
        <w:rPr>
          <w:rFonts w:ascii="Times New Roman" w:hAnsi="Times New Roman"/>
          <w:sz w:val="24"/>
        </w:rPr>
      </w:pPr>
    </w:p>
    <w:p w:rsidR="00CF3B8A" w:rsidRDefault="00CF3B8A" w:rsidP="00CF3B8A">
      <w:pPr>
        <w:pStyle w:val="Punkts"/>
        <w:numPr>
          <w:ilvl w:val="0"/>
          <w:numId w:val="0"/>
        </w:numPr>
        <w:tabs>
          <w:tab w:val="left" w:pos="720"/>
        </w:tabs>
        <w:jc w:val="right"/>
        <w:rPr>
          <w:rFonts w:ascii="Times New Roman" w:hAnsi="Times New Roman"/>
          <w:sz w:val="24"/>
        </w:rPr>
      </w:pPr>
    </w:p>
    <w:p w:rsidR="00CF3B8A" w:rsidRDefault="00CF3B8A" w:rsidP="00CF3B8A">
      <w:pPr>
        <w:pStyle w:val="Punkts"/>
        <w:numPr>
          <w:ilvl w:val="0"/>
          <w:numId w:val="0"/>
        </w:numPr>
        <w:tabs>
          <w:tab w:val="left" w:pos="720"/>
        </w:tabs>
        <w:jc w:val="right"/>
        <w:rPr>
          <w:rFonts w:ascii="Times New Roman" w:hAnsi="Times New Roman"/>
          <w:sz w:val="24"/>
        </w:rPr>
      </w:pPr>
    </w:p>
    <w:p w:rsidR="00CF3B8A" w:rsidRDefault="00CF3B8A" w:rsidP="00CF3B8A">
      <w:pPr>
        <w:pStyle w:val="Punkts"/>
        <w:numPr>
          <w:ilvl w:val="0"/>
          <w:numId w:val="0"/>
        </w:numPr>
        <w:tabs>
          <w:tab w:val="left" w:pos="720"/>
        </w:tabs>
        <w:jc w:val="right"/>
        <w:rPr>
          <w:rFonts w:ascii="Times New Roman" w:hAnsi="Times New Roman"/>
          <w:sz w:val="24"/>
        </w:rPr>
      </w:pPr>
    </w:p>
    <w:p w:rsidR="00CF3B8A" w:rsidRDefault="00CF3B8A" w:rsidP="00CF3B8A">
      <w:pPr>
        <w:pStyle w:val="Punkts"/>
        <w:numPr>
          <w:ilvl w:val="0"/>
          <w:numId w:val="0"/>
        </w:numPr>
        <w:tabs>
          <w:tab w:val="left" w:pos="720"/>
        </w:tabs>
        <w:jc w:val="right"/>
        <w:rPr>
          <w:rFonts w:ascii="Times New Roman" w:hAnsi="Times New Roman"/>
          <w:sz w:val="24"/>
        </w:rPr>
      </w:pPr>
    </w:p>
    <w:p w:rsidR="00CF3B8A" w:rsidRDefault="00CF3B8A" w:rsidP="00CF3B8A">
      <w:pPr>
        <w:pStyle w:val="Punkts"/>
        <w:numPr>
          <w:ilvl w:val="0"/>
          <w:numId w:val="0"/>
        </w:numPr>
        <w:tabs>
          <w:tab w:val="left" w:pos="720"/>
        </w:tabs>
        <w:jc w:val="right"/>
        <w:rPr>
          <w:rFonts w:ascii="Times New Roman" w:hAnsi="Times New Roman"/>
          <w:sz w:val="24"/>
        </w:rPr>
      </w:pPr>
    </w:p>
    <w:p w:rsidR="00CF3B8A" w:rsidRDefault="00CF3B8A" w:rsidP="00CF3B8A">
      <w:pPr>
        <w:pStyle w:val="Punkts"/>
        <w:numPr>
          <w:ilvl w:val="0"/>
          <w:numId w:val="0"/>
        </w:numPr>
        <w:tabs>
          <w:tab w:val="left" w:pos="720"/>
        </w:tabs>
        <w:jc w:val="right"/>
        <w:rPr>
          <w:rFonts w:ascii="Times New Roman" w:hAnsi="Times New Roman"/>
          <w:sz w:val="24"/>
        </w:rPr>
      </w:pPr>
    </w:p>
    <w:p w:rsidR="00CF3B8A" w:rsidRDefault="00CF3B8A" w:rsidP="00CF3B8A">
      <w:pPr>
        <w:pStyle w:val="Punkts"/>
        <w:numPr>
          <w:ilvl w:val="0"/>
          <w:numId w:val="0"/>
        </w:numPr>
        <w:tabs>
          <w:tab w:val="left" w:pos="720"/>
        </w:tabs>
        <w:jc w:val="right"/>
        <w:rPr>
          <w:rFonts w:ascii="Times New Roman" w:hAnsi="Times New Roman"/>
          <w:sz w:val="24"/>
        </w:rPr>
      </w:pPr>
    </w:p>
    <w:p w:rsidR="00CF3B8A" w:rsidRDefault="00CF3B8A" w:rsidP="00CF3B8A">
      <w:pPr>
        <w:pStyle w:val="Punkts"/>
        <w:numPr>
          <w:ilvl w:val="0"/>
          <w:numId w:val="0"/>
        </w:numPr>
        <w:tabs>
          <w:tab w:val="left" w:pos="720"/>
        </w:tabs>
        <w:jc w:val="right"/>
        <w:rPr>
          <w:rFonts w:ascii="Times New Roman" w:hAnsi="Times New Roman"/>
          <w:sz w:val="24"/>
        </w:rPr>
      </w:pPr>
    </w:p>
    <w:p w:rsidR="00CF3B8A" w:rsidRDefault="00CF3B8A" w:rsidP="00CF3B8A">
      <w:pPr>
        <w:pStyle w:val="Punkts"/>
        <w:numPr>
          <w:ilvl w:val="0"/>
          <w:numId w:val="0"/>
        </w:numPr>
        <w:tabs>
          <w:tab w:val="left" w:pos="720"/>
        </w:tabs>
        <w:jc w:val="right"/>
        <w:rPr>
          <w:rFonts w:ascii="Times New Roman" w:hAnsi="Times New Roman"/>
          <w:sz w:val="24"/>
        </w:rPr>
      </w:pPr>
    </w:p>
    <w:p w:rsidR="00CF3B8A" w:rsidRDefault="00CF3B8A" w:rsidP="00CF3B8A">
      <w:pPr>
        <w:pStyle w:val="Punkts"/>
        <w:numPr>
          <w:ilvl w:val="0"/>
          <w:numId w:val="0"/>
        </w:numPr>
        <w:tabs>
          <w:tab w:val="left" w:pos="720"/>
        </w:tabs>
        <w:jc w:val="right"/>
        <w:rPr>
          <w:rFonts w:ascii="Times New Roman" w:hAnsi="Times New Roman"/>
          <w:sz w:val="24"/>
        </w:rPr>
      </w:pPr>
    </w:p>
    <w:p w:rsidR="00CF3B8A" w:rsidRDefault="00CF3B8A" w:rsidP="00CF3B8A">
      <w:pPr>
        <w:pStyle w:val="Punkts"/>
        <w:numPr>
          <w:ilvl w:val="0"/>
          <w:numId w:val="0"/>
        </w:numPr>
        <w:tabs>
          <w:tab w:val="left" w:pos="720"/>
        </w:tabs>
        <w:jc w:val="right"/>
        <w:rPr>
          <w:rFonts w:ascii="Times New Roman" w:hAnsi="Times New Roman"/>
          <w:sz w:val="24"/>
        </w:rPr>
      </w:pPr>
    </w:p>
    <w:p w:rsidR="00AA55BE" w:rsidRDefault="00AA55BE"/>
    <w:p w:rsidR="00473B6B" w:rsidRDefault="00473B6B"/>
    <w:p w:rsidR="00473B6B" w:rsidRDefault="00473B6B"/>
    <w:p w:rsidR="00473B6B" w:rsidRDefault="00473B6B"/>
    <w:p w:rsidR="00473B6B" w:rsidRDefault="00473B6B"/>
    <w:p w:rsidR="00473B6B" w:rsidRDefault="00473B6B"/>
    <w:p w:rsidR="00473B6B" w:rsidRDefault="00473B6B"/>
    <w:p w:rsidR="005C4EBB" w:rsidRDefault="005C4EBB" w:rsidP="00473B6B">
      <w:pPr>
        <w:ind w:right="-1050"/>
        <w:jc w:val="right"/>
        <w:rPr>
          <w:b/>
          <w:i/>
          <w:u w:val="single"/>
        </w:rPr>
      </w:pPr>
    </w:p>
    <w:p w:rsidR="005C4EBB" w:rsidRDefault="005C4EBB" w:rsidP="00473B6B">
      <w:pPr>
        <w:ind w:right="-1050"/>
        <w:jc w:val="right"/>
        <w:rPr>
          <w:b/>
          <w:i/>
          <w:u w:val="single"/>
        </w:rPr>
      </w:pPr>
    </w:p>
    <w:p w:rsidR="005C4EBB" w:rsidRDefault="005C4EBB" w:rsidP="00473B6B">
      <w:pPr>
        <w:ind w:right="-1050"/>
        <w:jc w:val="right"/>
        <w:rPr>
          <w:b/>
          <w:i/>
          <w:u w:val="single"/>
        </w:rPr>
      </w:pPr>
    </w:p>
    <w:p w:rsidR="005C4EBB" w:rsidRDefault="005C4EBB" w:rsidP="00473B6B">
      <w:pPr>
        <w:ind w:right="-1050"/>
        <w:jc w:val="right"/>
        <w:rPr>
          <w:b/>
          <w:i/>
          <w:u w:val="single"/>
        </w:rPr>
      </w:pPr>
      <w:bookmarkStart w:id="0" w:name="_GoBack"/>
      <w:bookmarkEnd w:id="0"/>
    </w:p>
    <w:sectPr w:rsidR="005C4EBB">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EDB" w:rsidRDefault="00413EDB" w:rsidP="003F1A09">
      <w:r>
        <w:separator/>
      </w:r>
    </w:p>
  </w:endnote>
  <w:endnote w:type="continuationSeparator" w:id="0">
    <w:p w:rsidR="00413EDB" w:rsidRDefault="00413EDB" w:rsidP="003F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492951"/>
      <w:docPartObj>
        <w:docPartGallery w:val="Page Numbers (Bottom of Page)"/>
        <w:docPartUnique/>
      </w:docPartObj>
    </w:sdtPr>
    <w:sdtEndPr>
      <w:rPr>
        <w:noProof/>
      </w:rPr>
    </w:sdtEndPr>
    <w:sdtContent>
      <w:p w:rsidR="00473B6B" w:rsidRDefault="00473B6B" w:rsidP="003F1A09">
        <w:pPr>
          <w:pStyle w:val="Footer"/>
          <w:tabs>
            <w:tab w:val="clear" w:pos="8306"/>
          </w:tabs>
          <w:ind w:right="-1050"/>
          <w:jc w:val="center"/>
        </w:pPr>
        <w:r>
          <w:fldChar w:fldCharType="begin"/>
        </w:r>
        <w:r>
          <w:instrText xml:space="preserve"> PAGE   \* MERGEFORMAT </w:instrText>
        </w:r>
        <w:r>
          <w:fldChar w:fldCharType="separate"/>
        </w:r>
        <w:r w:rsidR="001F692C">
          <w:rPr>
            <w:noProof/>
          </w:rPr>
          <w:t>4</w:t>
        </w:r>
        <w:r>
          <w:rPr>
            <w:noProof/>
          </w:rPr>
          <w:fldChar w:fldCharType="end"/>
        </w:r>
      </w:p>
    </w:sdtContent>
  </w:sdt>
  <w:p w:rsidR="00473B6B" w:rsidRDefault="00473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EDB" w:rsidRDefault="00413EDB" w:rsidP="003F1A09">
      <w:r>
        <w:separator/>
      </w:r>
    </w:p>
  </w:footnote>
  <w:footnote w:type="continuationSeparator" w:id="0">
    <w:p w:rsidR="00413EDB" w:rsidRDefault="00413EDB" w:rsidP="003F1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1189"/>
    <w:multiLevelType w:val="multilevel"/>
    <w:tmpl w:val="61FEA72A"/>
    <w:lvl w:ilvl="0">
      <w:start w:val="1"/>
      <w:numFmt w:val="decimal"/>
      <w:pStyle w:val="Punkts"/>
      <w:lvlText w:val="%1."/>
      <w:lvlJc w:val="left"/>
      <w:pPr>
        <w:tabs>
          <w:tab w:val="num" w:pos="851"/>
        </w:tabs>
        <w:ind w:left="851" w:hanging="851"/>
      </w:pPr>
      <w:rPr>
        <w:b/>
      </w:rPr>
    </w:lvl>
    <w:lvl w:ilvl="1">
      <w:start w:val="1"/>
      <w:numFmt w:val="decimal"/>
      <w:pStyle w:val="Apakpunkts"/>
      <w:lvlText w:val="%1.%2."/>
      <w:lvlJc w:val="left"/>
      <w:pPr>
        <w:tabs>
          <w:tab w:val="num" w:pos="851"/>
        </w:tabs>
        <w:ind w:left="851" w:hanging="851"/>
      </w:pPr>
      <w:rPr>
        <w:rFonts w:ascii="Times New Roman" w:hAnsi="Times New Roman" w:cs="Times New Roman" w:hint="default"/>
        <w:b w:val="0"/>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b w:val="0"/>
        <w:strike w:val="0"/>
        <w:dstrike w:val="0"/>
        <w:sz w:val="24"/>
        <w:szCs w:val="24"/>
        <w:u w:val="none"/>
        <w:effect w:val="none"/>
      </w:rPr>
    </w:lvl>
    <w:lvl w:ilvl="3">
      <w:start w:val="1"/>
      <w:numFmt w:val="decimal"/>
      <w:lvlText w:val="%1.%2.%3.%4."/>
      <w:lvlJc w:val="left"/>
      <w:pPr>
        <w:tabs>
          <w:tab w:val="num" w:pos="851"/>
        </w:tabs>
        <w:ind w:left="851" w:hanging="851"/>
      </w:pPr>
      <w:rPr>
        <w:b/>
      </w:rPr>
    </w:lvl>
    <w:lvl w:ilvl="4">
      <w:start w:val="1"/>
      <w:numFmt w:val="lowerLetter"/>
      <w:lvlText w:val="%5)"/>
      <w:lvlJc w:val="left"/>
      <w:pPr>
        <w:tabs>
          <w:tab w:val="num" w:pos="4680"/>
        </w:tabs>
        <w:ind w:left="4680" w:hanging="36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10EC6A79"/>
    <w:multiLevelType w:val="multilevel"/>
    <w:tmpl w:val="C78493E8"/>
    <w:lvl w:ilvl="0">
      <w:start w:val="1"/>
      <w:numFmt w:val="decimal"/>
      <w:lvlText w:val="%1."/>
      <w:lvlJc w:val="left"/>
      <w:pPr>
        <w:ind w:left="9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20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decimal"/>
      <w:lvlText w:val="%1.%2.%3."/>
      <w:lvlJc w:val="left"/>
      <w:pPr>
        <w:ind w:left="23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B8570FA"/>
    <w:multiLevelType w:val="hybridMultilevel"/>
    <w:tmpl w:val="AB1A9362"/>
    <w:lvl w:ilvl="0" w:tplc="0426000D">
      <w:start w:val="1"/>
      <w:numFmt w:val="bullet"/>
      <w:lvlText w:val=""/>
      <w:lvlJc w:val="left"/>
      <w:pPr>
        <w:ind w:left="1644" w:hanging="360"/>
      </w:pPr>
      <w:rPr>
        <w:rFonts w:ascii="Wingdings" w:hAnsi="Wingdings" w:hint="default"/>
      </w:rPr>
    </w:lvl>
    <w:lvl w:ilvl="1" w:tplc="04260003">
      <w:start w:val="1"/>
      <w:numFmt w:val="bullet"/>
      <w:lvlText w:val="o"/>
      <w:lvlJc w:val="left"/>
      <w:pPr>
        <w:ind w:left="2364" w:hanging="360"/>
      </w:pPr>
      <w:rPr>
        <w:rFonts w:ascii="Courier New" w:hAnsi="Courier New" w:cs="Courier New" w:hint="default"/>
      </w:rPr>
    </w:lvl>
    <w:lvl w:ilvl="2" w:tplc="04260005">
      <w:start w:val="1"/>
      <w:numFmt w:val="bullet"/>
      <w:lvlText w:val=""/>
      <w:lvlJc w:val="left"/>
      <w:pPr>
        <w:ind w:left="3084" w:hanging="360"/>
      </w:pPr>
      <w:rPr>
        <w:rFonts w:ascii="Wingdings" w:hAnsi="Wingdings" w:hint="default"/>
      </w:rPr>
    </w:lvl>
    <w:lvl w:ilvl="3" w:tplc="04260001">
      <w:start w:val="1"/>
      <w:numFmt w:val="bullet"/>
      <w:lvlText w:val=""/>
      <w:lvlJc w:val="left"/>
      <w:pPr>
        <w:ind w:left="3804" w:hanging="360"/>
      </w:pPr>
      <w:rPr>
        <w:rFonts w:ascii="Symbol" w:hAnsi="Symbol" w:hint="default"/>
      </w:rPr>
    </w:lvl>
    <w:lvl w:ilvl="4" w:tplc="04260003">
      <w:start w:val="1"/>
      <w:numFmt w:val="bullet"/>
      <w:lvlText w:val="o"/>
      <w:lvlJc w:val="left"/>
      <w:pPr>
        <w:ind w:left="4524" w:hanging="360"/>
      </w:pPr>
      <w:rPr>
        <w:rFonts w:ascii="Courier New" w:hAnsi="Courier New" w:cs="Courier New" w:hint="default"/>
      </w:rPr>
    </w:lvl>
    <w:lvl w:ilvl="5" w:tplc="04260005">
      <w:start w:val="1"/>
      <w:numFmt w:val="bullet"/>
      <w:lvlText w:val=""/>
      <w:lvlJc w:val="left"/>
      <w:pPr>
        <w:ind w:left="5244" w:hanging="360"/>
      </w:pPr>
      <w:rPr>
        <w:rFonts w:ascii="Wingdings" w:hAnsi="Wingdings" w:hint="default"/>
      </w:rPr>
    </w:lvl>
    <w:lvl w:ilvl="6" w:tplc="04260001">
      <w:start w:val="1"/>
      <w:numFmt w:val="bullet"/>
      <w:lvlText w:val=""/>
      <w:lvlJc w:val="left"/>
      <w:pPr>
        <w:ind w:left="5964" w:hanging="360"/>
      </w:pPr>
      <w:rPr>
        <w:rFonts w:ascii="Symbol" w:hAnsi="Symbol" w:hint="default"/>
      </w:rPr>
    </w:lvl>
    <w:lvl w:ilvl="7" w:tplc="04260003">
      <w:start w:val="1"/>
      <w:numFmt w:val="bullet"/>
      <w:lvlText w:val="o"/>
      <w:lvlJc w:val="left"/>
      <w:pPr>
        <w:ind w:left="6684" w:hanging="360"/>
      </w:pPr>
      <w:rPr>
        <w:rFonts w:ascii="Courier New" w:hAnsi="Courier New" w:cs="Courier New" w:hint="default"/>
      </w:rPr>
    </w:lvl>
    <w:lvl w:ilvl="8" w:tplc="04260005">
      <w:start w:val="1"/>
      <w:numFmt w:val="bullet"/>
      <w:lvlText w:val=""/>
      <w:lvlJc w:val="left"/>
      <w:pPr>
        <w:ind w:left="7404" w:hanging="360"/>
      </w:pPr>
      <w:rPr>
        <w:rFonts w:ascii="Wingdings" w:hAnsi="Wingdings" w:hint="default"/>
      </w:rPr>
    </w:lvl>
  </w:abstractNum>
  <w:abstractNum w:abstractNumId="3" w15:restartNumberingAfterBreak="0">
    <w:nsid w:val="282C5B69"/>
    <w:multiLevelType w:val="hybridMultilevel"/>
    <w:tmpl w:val="326E0ED8"/>
    <w:lvl w:ilvl="0" w:tplc="0409000F">
      <w:start w:val="8"/>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41CF69D8"/>
    <w:multiLevelType w:val="hybridMultilevel"/>
    <w:tmpl w:val="C742A1C2"/>
    <w:lvl w:ilvl="0" w:tplc="0426000D">
      <w:start w:val="1"/>
      <w:numFmt w:val="bullet"/>
      <w:lvlText w:val=""/>
      <w:lvlJc w:val="left"/>
      <w:pPr>
        <w:ind w:left="1644" w:hanging="360"/>
      </w:pPr>
      <w:rPr>
        <w:rFonts w:ascii="Wingdings" w:hAnsi="Wingdings" w:hint="default"/>
      </w:rPr>
    </w:lvl>
    <w:lvl w:ilvl="1" w:tplc="04260003">
      <w:start w:val="1"/>
      <w:numFmt w:val="bullet"/>
      <w:lvlText w:val="o"/>
      <w:lvlJc w:val="left"/>
      <w:pPr>
        <w:ind w:left="2364" w:hanging="360"/>
      </w:pPr>
      <w:rPr>
        <w:rFonts w:ascii="Courier New" w:hAnsi="Courier New" w:cs="Courier New" w:hint="default"/>
      </w:rPr>
    </w:lvl>
    <w:lvl w:ilvl="2" w:tplc="04260005">
      <w:start w:val="1"/>
      <w:numFmt w:val="bullet"/>
      <w:lvlText w:val=""/>
      <w:lvlJc w:val="left"/>
      <w:pPr>
        <w:ind w:left="3084" w:hanging="360"/>
      </w:pPr>
      <w:rPr>
        <w:rFonts w:ascii="Wingdings" w:hAnsi="Wingdings" w:hint="default"/>
      </w:rPr>
    </w:lvl>
    <w:lvl w:ilvl="3" w:tplc="04260001">
      <w:start w:val="1"/>
      <w:numFmt w:val="bullet"/>
      <w:lvlText w:val=""/>
      <w:lvlJc w:val="left"/>
      <w:pPr>
        <w:ind w:left="3804" w:hanging="360"/>
      </w:pPr>
      <w:rPr>
        <w:rFonts w:ascii="Symbol" w:hAnsi="Symbol" w:hint="default"/>
      </w:rPr>
    </w:lvl>
    <w:lvl w:ilvl="4" w:tplc="04260003">
      <w:start w:val="1"/>
      <w:numFmt w:val="bullet"/>
      <w:lvlText w:val="o"/>
      <w:lvlJc w:val="left"/>
      <w:pPr>
        <w:ind w:left="4524" w:hanging="360"/>
      </w:pPr>
      <w:rPr>
        <w:rFonts w:ascii="Courier New" w:hAnsi="Courier New" w:cs="Courier New" w:hint="default"/>
      </w:rPr>
    </w:lvl>
    <w:lvl w:ilvl="5" w:tplc="04260005">
      <w:start w:val="1"/>
      <w:numFmt w:val="bullet"/>
      <w:lvlText w:val=""/>
      <w:lvlJc w:val="left"/>
      <w:pPr>
        <w:ind w:left="5244" w:hanging="360"/>
      </w:pPr>
      <w:rPr>
        <w:rFonts w:ascii="Wingdings" w:hAnsi="Wingdings" w:hint="default"/>
      </w:rPr>
    </w:lvl>
    <w:lvl w:ilvl="6" w:tplc="04260001">
      <w:start w:val="1"/>
      <w:numFmt w:val="bullet"/>
      <w:lvlText w:val=""/>
      <w:lvlJc w:val="left"/>
      <w:pPr>
        <w:ind w:left="5964" w:hanging="360"/>
      </w:pPr>
      <w:rPr>
        <w:rFonts w:ascii="Symbol" w:hAnsi="Symbol" w:hint="default"/>
      </w:rPr>
    </w:lvl>
    <w:lvl w:ilvl="7" w:tplc="04260003">
      <w:start w:val="1"/>
      <w:numFmt w:val="bullet"/>
      <w:lvlText w:val="o"/>
      <w:lvlJc w:val="left"/>
      <w:pPr>
        <w:ind w:left="6684" w:hanging="360"/>
      </w:pPr>
      <w:rPr>
        <w:rFonts w:ascii="Courier New" w:hAnsi="Courier New" w:cs="Courier New" w:hint="default"/>
      </w:rPr>
    </w:lvl>
    <w:lvl w:ilvl="8" w:tplc="04260005">
      <w:start w:val="1"/>
      <w:numFmt w:val="bullet"/>
      <w:lvlText w:val=""/>
      <w:lvlJc w:val="left"/>
      <w:pPr>
        <w:ind w:left="7404" w:hanging="360"/>
      </w:pPr>
      <w:rPr>
        <w:rFonts w:ascii="Wingdings" w:hAnsi="Wingdings" w:hint="default"/>
      </w:rPr>
    </w:lvl>
  </w:abstractNum>
  <w:abstractNum w:abstractNumId="5" w15:restartNumberingAfterBreak="0">
    <w:nsid w:val="41EC4D0C"/>
    <w:multiLevelType w:val="hybridMultilevel"/>
    <w:tmpl w:val="BE44E152"/>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6" w15:restartNumberingAfterBreak="0">
    <w:nsid w:val="4C632FDA"/>
    <w:multiLevelType w:val="hybridMultilevel"/>
    <w:tmpl w:val="03C267E6"/>
    <w:lvl w:ilvl="0" w:tplc="04260001">
      <w:start w:val="1"/>
      <w:numFmt w:val="bullet"/>
      <w:lvlText w:val=""/>
      <w:lvlJc w:val="left"/>
      <w:pPr>
        <w:ind w:left="327" w:hanging="360"/>
      </w:pPr>
      <w:rPr>
        <w:rFonts w:ascii="Symbol" w:hAnsi="Symbol" w:hint="default"/>
      </w:rPr>
    </w:lvl>
    <w:lvl w:ilvl="1" w:tplc="04260003">
      <w:start w:val="1"/>
      <w:numFmt w:val="bullet"/>
      <w:lvlText w:val="o"/>
      <w:lvlJc w:val="left"/>
      <w:pPr>
        <w:ind w:left="1047" w:hanging="360"/>
      </w:pPr>
      <w:rPr>
        <w:rFonts w:ascii="Courier New" w:hAnsi="Courier New" w:cs="Courier New" w:hint="default"/>
      </w:rPr>
    </w:lvl>
    <w:lvl w:ilvl="2" w:tplc="04260005">
      <w:start w:val="1"/>
      <w:numFmt w:val="bullet"/>
      <w:lvlText w:val=""/>
      <w:lvlJc w:val="left"/>
      <w:pPr>
        <w:ind w:left="1767" w:hanging="360"/>
      </w:pPr>
      <w:rPr>
        <w:rFonts w:ascii="Wingdings" w:hAnsi="Wingdings" w:hint="default"/>
      </w:rPr>
    </w:lvl>
    <w:lvl w:ilvl="3" w:tplc="04260001">
      <w:start w:val="1"/>
      <w:numFmt w:val="bullet"/>
      <w:lvlText w:val=""/>
      <w:lvlJc w:val="left"/>
      <w:pPr>
        <w:ind w:left="2487" w:hanging="360"/>
      </w:pPr>
      <w:rPr>
        <w:rFonts w:ascii="Symbol" w:hAnsi="Symbol" w:hint="default"/>
      </w:rPr>
    </w:lvl>
    <w:lvl w:ilvl="4" w:tplc="04260003">
      <w:start w:val="1"/>
      <w:numFmt w:val="bullet"/>
      <w:lvlText w:val="o"/>
      <w:lvlJc w:val="left"/>
      <w:pPr>
        <w:ind w:left="3207" w:hanging="360"/>
      </w:pPr>
      <w:rPr>
        <w:rFonts w:ascii="Courier New" w:hAnsi="Courier New" w:cs="Courier New" w:hint="default"/>
      </w:rPr>
    </w:lvl>
    <w:lvl w:ilvl="5" w:tplc="04260005">
      <w:start w:val="1"/>
      <w:numFmt w:val="bullet"/>
      <w:lvlText w:val=""/>
      <w:lvlJc w:val="left"/>
      <w:pPr>
        <w:ind w:left="3927" w:hanging="360"/>
      </w:pPr>
      <w:rPr>
        <w:rFonts w:ascii="Wingdings" w:hAnsi="Wingdings" w:hint="default"/>
      </w:rPr>
    </w:lvl>
    <w:lvl w:ilvl="6" w:tplc="04260001">
      <w:start w:val="1"/>
      <w:numFmt w:val="bullet"/>
      <w:lvlText w:val=""/>
      <w:lvlJc w:val="left"/>
      <w:pPr>
        <w:ind w:left="4647" w:hanging="360"/>
      </w:pPr>
      <w:rPr>
        <w:rFonts w:ascii="Symbol" w:hAnsi="Symbol" w:hint="default"/>
      </w:rPr>
    </w:lvl>
    <w:lvl w:ilvl="7" w:tplc="04260003">
      <w:start w:val="1"/>
      <w:numFmt w:val="bullet"/>
      <w:lvlText w:val="o"/>
      <w:lvlJc w:val="left"/>
      <w:pPr>
        <w:ind w:left="5367" w:hanging="360"/>
      </w:pPr>
      <w:rPr>
        <w:rFonts w:ascii="Courier New" w:hAnsi="Courier New" w:cs="Courier New" w:hint="default"/>
      </w:rPr>
    </w:lvl>
    <w:lvl w:ilvl="8" w:tplc="04260005">
      <w:start w:val="1"/>
      <w:numFmt w:val="bullet"/>
      <w:lvlText w:val=""/>
      <w:lvlJc w:val="left"/>
      <w:pPr>
        <w:ind w:left="6087" w:hanging="360"/>
      </w:pPr>
      <w:rPr>
        <w:rFonts w:ascii="Wingdings" w:hAnsi="Wingdings" w:hint="default"/>
      </w:rPr>
    </w:lvl>
  </w:abstractNum>
  <w:abstractNum w:abstractNumId="7" w15:restartNumberingAfterBreak="0">
    <w:nsid w:val="50DD70B5"/>
    <w:multiLevelType w:val="multilevel"/>
    <w:tmpl w:val="6BDAE2FC"/>
    <w:lvl w:ilvl="0">
      <w:start w:val="8"/>
      <w:numFmt w:val="decimal"/>
      <w:lvlText w:val="%1."/>
      <w:lvlJc w:val="left"/>
      <w:pPr>
        <w:ind w:left="360" w:hanging="360"/>
      </w:pPr>
    </w:lvl>
    <w:lvl w:ilvl="1">
      <w:start w:val="1"/>
      <w:numFmt w:val="decimal"/>
      <w:lvlText w:val="%1.%2."/>
      <w:lvlJc w:val="left"/>
      <w:pPr>
        <w:ind w:left="2629" w:hanging="360"/>
      </w:pPr>
      <w:rPr>
        <w:b w:val="0"/>
        <w:sz w:val="24"/>
        <w:szCs w:val="24"/>
      </w:rPr>
    </w:lvl>
    <w:lvl w:ilvl="2">
      <w:start w:val="1"/>
      <w:numFmt w:val="decimal"/>
      <w:lvlText w:val="%1.%2.%3."/>
      <w:lvlJc w:val="left"/>
      <w:pPr>
        <w:ind w:left="5258" w:hanging="720"/>
      </w:pPr>
    </w:lvl>
    <w:lvl w:ilvl="3">
      <w:start w:val="1"/>
      <w:numFmt w:val="decimal"/>
      <w:lvlText w:val="%1.%2.%3.%4."/>
      <w:lvlJc w:val="left"/>
      <w:pPr>
        <w:ind w:left="7527" w:hanging="720"/>
      </w:pPr>
    </w:lvl>
    <w:lvl w:ilvl="4">
      <w:start w:val="1"/>
      <w:numFmt w:val="decimal"/>
      <w:lvlText w:val="%1.%2.%3.%4.%5."/>
      <w:lvlJc w:val="left"/>
      <w:pPr>
        <w:ind w:left="10156" w:hanging="1080"/>
      </w:pPr>
    </w:lvl>
    <w:lvl w:ilvl="5">
      <w:start w:val="1"/>
      <w:numFmt w:val="decimal"/>
      <w:lvlText w:val="%1.%2.%3.%4.%5.%6."/>
      <w:lvlJc w:val="left"/>
      <w:pPr>
        <w:ind w:left="12425" w:hanging="1080"/>
      </w:pPr>
    </w:lvl>
    <w:lvl w:ilvl="6">
      <w:start w:val="1"/>
      <w:numFmt w:val="decimal"/>
      <w:lvlText w:val="%1.%2.%3.%4.%5.%6.%7."/>
      <w:lvlJc w:val="left"/>
      <w:pPr>
        <w:ind w:left="15054" w:hanging="1440"/>
      </w:pPr>
    </w:lvl>
    <w:lvl w:ilvl="7">
      <w:start w:val="1"/>
      <w:numFmt w:val="decimal"/>
      <w:lvlText w:val="%1.%2.%3.%4.%5.%6.%7.%8."/>
      <w:lvlJc w:val="left"/>
      <w:pPr>
        <w:ind w:left="17323" w:hanging="1440"/>
      </w:pPr>
    </w:lvl>
    <w:lvl w:ilvl="8">
      <w:start w:val="1"/>
      <w:numFmt w:val="decimal"/>
      <w:lvlText w:val="%1.%2.%3.%4.%5.%6.%7.%8.%9."/>
      <w:lvlJc w:val="left"/>
      <w:pPr>
        <w:ind w:left="19952" w:hanging="1800"/>
      </w:pPr>
    </w:lvl>
  </w:abstractNum>
  <w:abstractNum w:abstractNumId="8" w15:restartNumberingAfterBreak="0">
    <w:nsid w:val="54FD4450"/>
    <w:multiLevelType w:val="hybridMultilevel"/>
    <w:tmpl w:val="3250A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67F2063C"/>
    <w:multiLevelType w:val="multilevel"/>
    <w:tmpl w:val="0426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0" w15:restartNumberingAfterBreak="0">
    <w:nsid w:val="6D291E0E"/>
    <w:multiLevelType w:val="hybridMultilevel"/>
    <w:tmpl w:val="75328926"/>
    <w:lvl w:ilvl="0" w:tplc="04260001">
      <w:start w:val="1"/>
      <w:numFmt w:val="bullet"/>
      <w:lvlText w:val=""/>
      <w:lvlJc w:val="left"/>
      <w:pPr>
        <w:ind w:left="1997" w:hanging="360"/>
      </w:pPr>
      <w:rPr>
        <w:rFonts w:ascii="Symbol" w:hAnsi="Symbol" w:hint="default"/>
      </w:rPr>
    </w:lvl>
    <w:lvl w:ilvl="1" w:tplc="04260003">
      <w:start w:val="1"/>
      <w:numFmt w:val="bullet"/>
      <w:lvlText w:val="o"/>
      <w:lvlJc w:val="left"/>
      <w:pPr>
        <w:ind w:left="2717" w:hanging="360"/>
      </w:pPr>
      <w:rPr>
        <w:rFonts w:ascii="Courier New" w:hAnsi="Courier New" w:cs="Courier New" w:hint="default"/>
      </w:rPr>
    </w:lvl>
    <w:lvl w:ilvl="2" w:tplc="04260005">
      <w:start w:val="1"/>
      <w:numFmt w:val="bullet"/>
      <w:lvlText w:val=""/>
      <w:lvlJc w:val="left"/>
      <w:pPr>
        <w:ind w:left="3437" w:hanging="360"/>
      </w:pPr>
      <w:rPr>
        <w:rFonts w:ascii="Wingdings" w:hAnsi="Wingdings" w:hint="default"/>
      </w:rPr>
    </w:lvl>
    <w:lvl w:ilvl="3" w:tplc="04260001">
      <w:start w:val="1"/>
      <w:numFmt w:val="bullet"/>
      <w:lvlText w:val=""/>
      <w:lvlJc w:val="left"/>
      <w:pPr>
        <w:ind w:left="4157" w:hanging="360"/>
      </w:pPr>
      <w:rPr>
        <w:rFonts w:ascii="Symbol" w:hAnsi="Symbol" w:hint="default"/>
      </w:rPr>
    </w:lvl>
    <w:lvl w:ilvl="4" w:tplc="04260003">
      <w:start w:val="1"/>
      <w:numFmt w:val="bullet"/>
      <w:lvlText w:val="o"/>
      <w:lvlJc w:val="left"/>
      <w:pPr>
        <w:ind w:left="4877" w:hanging="360"/>
      </w:pPr>
      <w:rPr>
        <w:rFonts w:ascii="Courier New" w:hAnsi="Courier New" w:cs="Courier New" w:hint="default"/>
      </w:rPr>
    </w:lvl>
    <w:lvl w:ilvl="5" w:tplc="04260005">
      <w:start w:val="1"/>
      <w:numFmt w:val="bullet"/>
      <w:lvlText w:val=""/>
      <w:lvlJc w:val="left"/>
      <w:pPr>
        <w:ind w:left="5597" w:hanging="360"/>
      </w:pPr>
      <w:rPr>
        <w:rFonts w:ascii="Wingdings" w:hAnsi="Wingdings" w:hint="default"/>
      </w:rPr>
    </w:lvl>
    <w:lvl w:ilvl="6" w:tplc="04260001">
      <w:start w:val="1"/>
      <w:numFmt w:val="bullet"/>
      <w:lvlText w:val=""/>
      <w:lvlJc w:val="left"/>
      <w:pPr>
        <w:ind w:left="6317" w:hanging="360"/>
      </w:pPr>
      <w:rPr>
        <w:rFonts w:ascii="Symbol" w:hAnsi="Symbol" w:hint="default"/>
      </w:rPr>
    </w:lvl>
    <w:lvl w:ilvl="7" w:tplc="04260003">
      <w:start w:val="1"/>
      <w:numFmt w:val="bullet"/>
      <w:lvlText w:val="o"/>
      <w:lvlJc w:val="left"/>
      <w:pPr>
        <w:ind w:left="7037" w:hanging="360"/>
      </w:pPr>
      <w:rPr>
        <w:rFonts w:ascii="Courier New" w:hAnsi="Courier New" w:cs="Courier New" w:hint="default"/>
      </w:rPr>
    </w:lvl>
    <w:lvl w:ilvl="8" w:tplc="04260005">
      <w:start w:val="1"/>
      <w:numFmt w:val="bullet"/>
      <w:lvlText w:val=""/>
      <w:lvlJc w:val="left"/>
      <w:pPr>
        <w:ind w:left="7757" w:hanging="360"/>
      </w:pPr>
      <w:rPr>
        <w:rFonts w:ascii="Wingdings" w:hAnsi="Wingdings" w:hint="default"/>
      </w:rPr>
    </w:lvl>
  </w:abstractNum>
  <w:abstractNum w:abstractNumId="11" w15:restartNumberingAfterBreak="0">
    <w:nsid w:val="6EAF6BDA"/>
    <w:multiLevelType w:val="multilevel"/>
    <w:tmpl w:val="8DA8E20A"/>
    <w:lvl w:ilvl="0">
      <w:start w:val="1"/>
      <w:numFmt w:val="decimal"/>
      <w:lvlText w:val="%1."/>
      <w:lvlJc w:val="left"/>
      <w:pPr>
        <w:ind w:left="405" w:hanging="405"/>
      </w:pPr>
      <w:rPr>
        <w:color w:val="0D0D0D"/>
      </w:rPr>
    </w:lvl>
    <w:lvl w:ilvl="1">
      <w:start w:val="1"/>
      <w:numFmt w:val="decimal"/>
      <w:lvlText w:val="%1.%2."/>
      <w:lvlJc w:val="left"/>
      <w:pPr>
        <w:ind w:left="705" w:hanging="405"/>
      </w:pPr>
      <w:rPr>
        <w:color w:val="0D0D0D"/>
      </w:rPr>
    </w:lvl>
    <w:lvl w:ilvl="2">
      <w:start w:val="1"/>
      <w:numFmt w:val="decimal"/>
      <w:lvlText w:val="%1.%2.%3."/>
      <w:lvlJc w:val="left"/>
      <w:pPr>
        <w:ind w:left="1320" w:hanging="720"/>
      </w:pPr>
      <w:rPr>
        <w:color w:val="0D0D0D"/>
      </w:rPr>
    </w:lvl>
    <w:lvl w:ilvl="3">
      <w:start w:val="1"/>
      <w:numFmt w:val="decimal"/>
      <w:lvlText w:val="%1.%2.%3.%4."/>
      <w:lvlJc w:val="left"/>
      <w:pPr>
        <w:ind w:left="1620" w:hanging="720"/>
      </w:pPr>
      <w:rPr>
        <w:color w:val="0D0D0D"/>
      </w:rPr>
    </w:lvl>
    <w:lvl w:ilvl="4">
      <w:start w:val="1"/>
      <w:numFmt w:val="decimal"/>
      <w:lvlText w:val="%1.%2.%3.%4.%5."/>
      <w:lvlJc w:val="left"/>
      <w:pPr>
        <w:ind w:left="2280" w:hanging="1080"/>
      </w:pPr>
      <w:rPr>
        <w:color w:val="0D0D0D"/>
      </w:rPr>
    </w:lvl>
    <w:lvl w:ilvl="5">
      <w:start w:val="1"/>
      <w:numFmt w:val="decimal"/>
      <w:lvlText w:val="%1.%2.%3.%4.%5.%6."/>
      <w:lvlJc w:val="left"/>
      <w:pPr>
        <w:ind w:left="2580" w:hanging="1080"/>
      </w:pPr>
      <w:rPr>
        <w:color w:val="0D0D0D"/>
      </w:rPr>
    </w:lvl>
    <w:lvl w:ilvl="6">
      <w:start w:val="1"/>
      <w:numFmt w:val="decimal"/>
      <w:lvlText w:val="%1.%2.%3.%4.%5.%6.%7."/>
      <w:lvlJc w:val="left"/>
      <w:pPr>
        <w:ind w:left="3240" w:hanging="1440"/>
      </w:pPr>
      <w:rPr>
        <w:color w:val="0D0D0D"/>
      </w:rPr>
    </w:lvl>
    <w:lvl w:ilvl="7">
      <w:start w:val="1"/>
      <w:numFmt w:val="decimal"/>
      <w:lvlText w:val="%1.%2.%3.%4.%5.%6.%7.%8."/>
      <w:lvlJc w:val="left"/>
      <w:pPr>
        <w:ind w:left="3540" w:hanging="1440"/>
      </w:pPr>
      <w:rPr>
        <w:color w:val="0D0D0D"/>
      </w:rPr>
    </w:lvl>
    <w:lvl w:ilvl="8">
      <w:start w:val="1"/>
      <w:numFmt w:val="decimal"/>
      <w:lvlText w:val="%1.%2.%3.%4.%5.%6.%7.%8.%9."/>
      <w:lvlJc w:val="left"/>
      <w:pPr>
        <w:ind w:left="4200" w:hanging="1800"/>
      </w:pPr>
      <w:rPr>
        <w:color w:val="0D0D0D"/>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0"/>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B8A"/>
    <w:rsid w:val="00185CF8"/>
    <w:rsid w:val="001F692C"/>
    <w:rsid w:val="00242D57"/>
    <w:rsid w:val="00331B6C"/>
    <w:rsid w:val="003F1A09"/>
    <w:rsid w:val="00413EDB"/>
    <w:rsid w:val="00473B6B"/>
    <w:rsid w:val="00497750"/>
    <w:rsid w:val="00521A09"/>
    <w:rsid w:val="005524C1"/>
    <w:rsid w:val="005C4EBB"/>
    <w:rsid w:val="00683457"/>
    <w:rsid w:val="007B7B2D"/>
    <w:rsid w:val="00A1219F"/>
    <w:rsid w:val="00AA265C"/>
    <w:rsid w:val="00AA55BE"/>
    <w:rsid w:val="00CF3B8A"/>
    <w:rsid w:val="00F236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5D372"/>
  <w15:chartTrackingRefBased/>
  <w15:docId w15:val="{79812A7D-5250-475A-A3B5-95D87BD8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B8A"/>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First subtitle"/>
    <w:basedOn w:val="Normal"/>
    <w:next w:val="Normal"/>
    <w:link w:val="Heading1Char"/>
    <w:qFormat/>
    <w:rsid w:val="00473B6B"/>
    <w:pPr>
      <w:keepNext/>
      <w:numPr>
        <w:numId w:val="4"/>
      </w:numPr>
      <w:spacing w:before="240" w:after="60"/>
      <w:outlineLvl w:val="0"/>
    </w:pPr>
    <w:rPr>
      <w:rFonts w:ascii="Arial" w:hAnsi="Arial"/>
      <w:kern w:val="32"/>
      <w:sz w:val="32"/>
      <w:szCs w:val="32"/>
    </w:rPr>
  </w:style>
  <w:style w:type="paragraph" w:styleId="Heading2">
    <w:name w:val="heading 2"/>
    <w:aliases w:val="Second subtitle,Char"/>
    <w:basedOn w:val="Normal"/>
    <w:next w:val="Normal"/>
    <w:link w:val="Heading2Char"/>
    <w:unhideWhenUsed/>
    <w:qFormat/>
    <w:rsid w:val="00473B6B"/>
    <w:pPr>
      <w:keepNext/>
      <w:numPr>
        <w:ilvl w:val="1"/>
        <w:numId w:val="4"/>
      </w:numPr>
      <w:spacing w:before="240" w:after="60"/>
      <w:outlineLvl w:val="1"/>
    </w:pPr>
    <w:rPr>
      <w:rFonts w:ascii="Arial" w:hAnsi="Arial" w:cs="Arial"/>
      <w:i/>
      <w:iCs/>
      <w:sz w:val="28"/>
      <w:szCs w:val="28"/>
    </w:rPr>
  </w:style>
  <w:style w:type="paragraph" w:styleId="Heading3">
    <w:name w:val="heading 3"/>
    <w:basedOn w:val="Normal"/>
    <w:next w:val="Normal"/>
    <w:link w:val="Heading3Char"/>
    <w:semiHidden/>
    <w:unhideWhenUsed/>
    <w:qFormat/>
    <w:rsid w:val="00473B6B"/>
    <w:pPr>
      <w:keepNext/>
      <w:numPr>
        <w:ilvl w:val="2"/>
        <w:numId w:val="4"/>
      </w:numPr>
      <w:spacing w:before="240" w:after="60"/>
      <w:outlineLvl w:val="2"/>
    </w:pPr>
    <w:rPr>
      <w:rFonts w:cs="Arial"/>
      <w:b/>
      <w:bCs/>
      <w:sz w:val="26"/>
      <w:szCs w:val="26"/>
      <w:lang w:val="en-GB" w:eastAsia="en-US"/>
    </w:rPr>
  </w:style>
  <w:style w:type="paragraph" w:styleId="Heading4">
    <w:name w:val="heading 4"/>
    <w:basedOn w:val="Normal"/>
    <w:next w:val="Normal"/>
    <w:link w:val="Heading4Char"/>
    <w:semiHidden/>
    <w:unhideWhenUsed/>
    <w:qFormat/>
    <w:rsid w:val="00473B6B"/>
    <w:pPr>
      <w:keepNext/>
      <w:numPr>
        <w:ilvl w:val="3"/>
        <w:numId w:val="4"/>
      </w:numPr>
      <w:spacing w:before="240" w:after="60"/>
      <w:outlineLvl w:val="3"/>
    </w:pPr>
    <w:rPr>
      <w:b/>
      <w:bCs/>
      <w:sz w:val="28"/>
      <w:szCs w:val="28"/>
      <w:lang w:val="en-GB" w:eastAsia="en-US"/>
    </w:rPr>
  </w:style>
  <w:style w:type="paragraph" w:styleId="Heading5">
    <w:name w:val="heading 5"/>
    <w:basedOn w:val="Normal"/>
    <w:next w:val="Normal"/>
    <w:link w:val="Heading5Char"/>
    <w:semiHidden/>
    <w:unhideWhenUsed/>
    <w:qFormat/>
    <w:rsid w:val="00473B6B"/>
    <w:pPr>
      <w:numPr>
        <w:ilvl w:val="4"/>
        <w:numId w:val="4"/>
      </w:numPr>
      <w:spacing w:before="240" w:after="60"/>
      <w:outlineLvl w:val="4"/>
    </w:pPr>
    <w:rPr>
      <w:b/>
      <w:bCs/>
      <w:i/>
      <w:iCs/>
      <w:sz w:val="26"/>
      <w:szCs w:val="26"/>
      <w:lang w:val="en-GB" w:eastAsia="x-none"/>
    </w:rPr>
  </w:style>
  <w:style w:type="paragraph" w:styleId="Heading6">
    <w:name w:val="heading 6"/>
    <w:basedOn w:val="Normal"/>
    <w:next w:val="Normal"/>
    <w:link w:val="Heading6Char"/>
    <w:semiHidden/>
    <w:unhideWhenUsed/>
    <w:qFormat/>
    <w:rsid w:val="00473B6B"/>
    <w:pPr>
      <w:numPr>
        <w:ilvl w:val="5"/>
        <w:numId w:val="4"/>
      </w:numPr>
      <w:spacing w:before="240" w:after="60"/>
      <w:outlineLvl w:val="5"/>
    </w:pPr>
    <w:rPr>
      <w:b/>
      <w:bCs/>
      <w:sz w:val="22"/>
      <w:szCs w:val="22"/>
      <w:lang w:val="en-GB" w:eastAsia="en-US"/>
    </w:rPr>
  </w:style>
  <w:style w:type="paragraph" w:styleId="Heading7">
    <w:name w:val="heading 7"/>
    <w:basedOn w:val="Normal"/>
    <w:next w:val="Normal"/>
    <w:link w:val="Heading7Char"/>
    <w:semiHidden/>
    <w:unhideWhenUsed/>
    <w:qFormat/>
    <w:rsid w:val="00473B6B"/>
    <w:pPr>
      <w:numPr>
        <w:ilvl w:val="6"/>
        <w:numId w:val="4"/>
      </w:numPr>
      <w:spacing w:before="240" w:after="60"/>
      <w:outlineLvl w:val="6"/>
    </w:pPr>
    <w:rPr>
      <w:lang w:val="en-GB" w:eastAsia="en-US"/>
    </w:rPr>
  </w:style>
  <w:style w:type="paragraph" w:styleId="Heading8">
    <w:name w:val="heading 8"/>
    <w:basedOn w:val="Normal"/>
    <w:next w:val="Normal"/>
    <w:link w:val="Heading8Char"/>
    <w:semiHidden/>
    <w:unhideWhenUsed/>
    <w:qFormat/>
    <w:rsid w:val="00473B6B"/>
    <w:pPr>
      <w:numPr>
        <w:ilvl w:val="7"/>
        <w:numId w:val="4"/>
      </w:numPr>
      <w:spacing w:before="240" w:after="60"/>
      <w:outlineLvl w:val="7"/>
    </w:pPr>
    <w:rPr>
      <w:i/>
      <w:iCs/>
      <w:lang w:val="en-GB" w:eastAsia="en-US"/>
    </w:rPr>
  </w:style>
  <w:style w:type="paragraph" w:styleId="Heading9">
    <w:name w:val="heading 9"/>
    <w:basedOn w:val="Normal"/>
    <w:next w:val="Normal"/>
    <w:link w:val="Heading9Char"/>
    <w:semiHidden/>
    <w:unhideWhenUsed/>
    <w:qFormat/>
    <w:rsid w:val="00473B6B"/>
    <w:pPr>
      <w:numPr>
        <w:ilvl w:val="8"/>
        <w:numId w:val="4"/>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CF3B8A"/>
    <w:pPr>
      <w:spacing w:after="120" w:line="480" w:lineRule="auto"/>
      <w:ind w:left="283"/>
    </w:pPr>
  </w:style>
  <w:style w:type="character" w:customStyle="1" w:styleId="BodyTextIndent2Char">
    <w:name w:val="Body Text Indent 2 Char"/>
    <w:basedOn w:val="DefaultParagraphFont"/>
    <w:link w:val="BodyTextIndent2"/>
    <w:semiHidden/>
    <w:rsid w:val="00CF3B8A"/>
    <w:rPr>
      <w:rFonts w:ascii="Times New Roman" w:eastAsia="Times New Roman" w:hAnsi="Times New Roman" w:cs="Times New Roman"/>
      <w:sz w:val="24"/>
      <w:szCs w:val="24"/>
      <w:lang w:eastAsia="lv-LV"/>
    </w:rPr>
  </w:style>
  <w:style w:type="paragraph" w:customStyle="1" w:styleId="Apakpunkts">
    <w:name w:val="Apakšpunkts"/>
    <w:basedOn w:val="Normal"/>
    <w:link w:val="ApakpunktsChar"/>
    <w:rsid w:val="00CF3B8A"/>
    <w:pPr>
      <w:numPr>
        <w:ilvl w:val="1"/>
        <w:numId w:val="1"/>
      </w:numPr>
    </w:pPr>
    <w:rPr>
      <w:rFonts w:ascii="Arial" w:hAnsi="Arial"/>
      <w:b/>
      <w:sz w:val="20"/>
    </w:rPr>
  </w:style>
  <w:style w:type="paragraph" w:customStyle="1" w:styleId="Punkts">
    <w:name w:val="Punkts"/>
    <w:basedOn w:val="Normal"/>
    <w:next w:val="Apakpunkts"/>
    <w:rsid w:val="00CF3B8A"/>
    <w:pPr>
      <w:numPr>
        <w:numId w:val="1"/>
      </w:numPr>
    </w:pPr>
    <w:rPr>
      <w:rFonts w:ascii="Arial" w:hAnsi="Arial"/>
      <w:b/>
      <w:sz w:val="20"/>
    </w:rPr>
  </w:style>
  <w:style w:type="character" w:customStyle="1" w:styleId="ApakpunktsChar">
    <w:name w:val="Apakšpunkts Char"/>
    <w:link w:val="Apakpunkts"/>
    <w:locked/>
    <w:rsid w:val="00CF3B8A"/>
    <w:rPr>
      <w:rFonts w:ascii="Arial" w:eastAsia="Times New Roman" w:hAnsi="Arial" w:cs="Times New Roman"/>
      <w:b/>
      <w:sz w:val="20"/>
      <w:szCs w:val="24"/>
      <w:lang w:eastAsia="lv-LV"/>
    </w:rPr>
  </w:style>
  <w:style w:type="paragraph" w:customStyle="1" w:styleId="Paragrfs">
    <w:name w:val="Paragrāfs"/>
    <w:basedOn w:val="Normal"/>
    <w:next w:val="Normal"/>
    <w:rsid w:val="00CF3B8A"/>
    <w:pPr>
      <w:numPr>
        <w:ilvl w:val="2"/>
        <w:numId w:val="1"/>
      </w:numPr>
      <w:jc w:val="both"/>
    </w:pPr>
    <w:rPr>
      <w:rFonts w:ascii="Arial" w:hAnsi="Arial"/>
      <w:sz w:val="20"/>
    </w:rPr>
  </w:style>
  <w:style w:type="paragraph" w:customStyle="1" w:styleId="Sarakstarindkopa1">
    <w:name w:val="Saraksta rindkopa1"/>
    <w:basedOn w:val="Normal"/>
    <w:qFormat/>
    <w:rsid w:val="00CF3B8A"/>
    <w:pPr>
      <w:widowControl w:val="0"/>
      <w:autoSpaceDE w:val="0"/>
      <w:autoSpaceDN w:val="0"/>
      <w:adjustRightInd w:val="0"/>
      <w:ind w:left="720"/>
      <w:contextualSpacing/>
    </w:pPr>
    <w:rPr>
      <w:sz w:val="20"/>
      <w:szCs w:val="20"/>
    </w:rPr>
  </w:style>
  <w:style w:type="paragraph" w:styleId="Header">
    <w:name w:val="header"/>
    <w:basedOn w:val="Normal"/>
    <w:link w:val="HeaderChar"/>
    <w:uiPriority w:val="99"/>
    <w:unhideWhenUsed/>
    <w:rsid w:val="003F1A09"/>
    <w:pPr>
      <w:tabs>
        <w:tab w:val="center" w:pos="4153"/>
        <w:tab w:val="right" w:pos="8306"/>
      </w:tabs>
    </w:pPr>
  </w:style>
  <w:style w:type="character" w:customStyle="1" w:styleId="HeaderChar">
    <w:name w:val="Header Char"/>
    <w:basedOn w:val="DefaultParagraphFont"/>
    <w:link w:val="Header"/>
    <w:uiPriority w:val="99"/>
    <w:rsid w:val="003F1A0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F1A09"/>
    <w:pPr>
      <w:tabs>
        <w:tab w:val="center" w:pos="4153"/>
        <w:tab w:val="right" w:pos="8306"/>
      </w:tabs>
    </w:pPr>
  </w:style>
  <w:style w:type="character" w:customStyle="1" w:styleId="FooterChar">
    <w:name w:val="Footer Char"/>
    <w:basedOn w:val="DefaultParagraphFont"/>
    <w:link w:val="Footer"/>
    <w:uiPriority w:val="99"/>
    <w:rsid w:val="003F1A09"/>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A1219F"/>
    <w:rPr>
      <w:color w:val="0563C1" w:themeColor="hyperlink"/>
      <w:u w:val="single"/>
    </w:rPr>
  </w:style>
  <w:style w:type="character" w:styleId="UnresolvedMention">
    <w:name w:val="Unresolved Mention"/>
    <w:basedOn w:val="DefaultParagraphFont"/>
    <w:uiPriority w:val="99"/>
    <w:semiHidden/>
    <w:unhideWhenUsed/>
    <w:rsid w:val="00A1219F"/>
    <w:rPr>
      <w:color w:val="808080"/>
      <w:shd w:val="clear" w:color="auto" w:fill="E6E6E6"/>
    </w:rPr>
  </w:style>
  <w:style w:type="character" w:customStyle="1" w:styleId="Heading1Char">
    <w:name w:val="Heading 1 Char"/>
    <w:aliases w:val="H1 Char,First subtitle Char"/>
    <w:basedOn w:val="DefaultParagraphFont"/>
    <w:link w:val="Heading1"/>
    <w:rsid w:val="00473B6B"/>
    <w:rPr>
      <w:rFonts w:ascii="Arial" w:eastAsia="Times New Roman" w:hAnsi="Arial" w:cs="Times New Roman"/>
      <w:kern w:val="32"/>
      <w:sz w:val="32"/>
      <w:szCs w:val="32"/>
      <w:lang w:eastAsia="lv-LV"/>
    </w:rPr>
  </w:style>
  <w:style w:type="character" w:customStyle="1" w:styleId="Heading2Char">
    <w:name w:val="Heading 2 Char"/>
    <w:aliases w:val="Second subtitle Char,Char Char"/>
    <w:basedOn w:val="DefaultParagraphFont"/>
    <w:link w:val="Heading2"/>
    <w:rsid w:val="00473B6B"/>
    <w:rPr>
      <w:rFonts w:ascii="Arial" w:eastAsia="Times New Roman" w:hAnsi="Arial" w:cs="Arial"/>
      <w:i/>
      <w:iCs/>
      <w:sz w:val="28"/>
      <w:szCs w:val="28"/>
      <w:lang w:eastAsia="lv-LV"/>
    </w:rPr>
  </w:style>
  <w:style w:type="character" w:customStyle="1" w:styleId="Heading3Char">
    <w:name w:val="Heading 3 Char"/>
    <w:basedOn w:val="DefaultParagraphFont"/>
    <w:link w:val="Heading3"/>
    <w:semiHidden/>
    <w:rsid w:val="00473B6B"/>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semiHidden/>
    <w:rsid w:val="00473B6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semiHidden/>
    <w:rsid w:val="00473B6B"/>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semiHidden/>
    <w:rsid w:val="00473B6B"/>
    <w:rPr>
      <w:rFonts w:ascii="Times New Roman" w:eastAsia="Times New Roman" w:hAnsi="Times New Roman" w:cs="Times New Roman"/>
      <w:b/>
      <w:bCs/>
      <w:lang w:val="en-GB"/>
    </w:rPr>
  </w:style>
  <w:style w:type="character" w:customStyle="1" w:styleId="Heading7Char">
    <w:name w:val="Heading 7 Char"/>
    <w:basedOn w:val="DefaultParagraphFont"/>
    <w:link w:val="Heading7"/>
    <w:semiHidden/>
    <w:rsid w:val="00473B6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semiHidden/>
    <w:rsid w:val="00473B6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semiHidden/>
    <w:rsid w:val="00473B6B"/>
    <w:rPr>
      <w:rFonts w:ascii="Arial" w:eastAsia="Times New Roman" w:hAnsi="Arial" w:cs="Arial"/>
      <w:lang w:val="en-GB"/>
    </w:rPr>
  </w:style>
  <w:style w:type="character" w:customStyle="1" w:styleId="ListParagraphChar">
    <w:name w:val="List Paragraph Char"/>
    <w:aliases w:val="2 Char,Saraksta rindkopa2 Char"/>
    <w:link w:val="ListParagraph"/>
    <w:uiPriority w:val="34"/>
    <w:locked/>
    <w:rsid w:val="00473B6B"/>
    <w:rPr>
      <w:sz w:val="24"/>
      <w:szCs w:val="24"/>
    </w:rPr>
  </w:style>
  <w:style w:type="paragraph" w:styleId="ListParagraph">
    <w:name w:val="List Paragraph"/>
    <w:aliases w:val="2,Saraksta rindkopa2"/>
    <w:basedOn w:val="Normal"/>
    <w:link w:val="ListParagraphChar"/>
    <w:uiPriority w:val="34"/>
    <w:qFormat/>
    <w:rsid w:val="00473B6B"/>
    <w:pPr>
      <w:widowControl w:val="0"/>
      <w:adjustRightInd w:val="0"/>
      <w:spacing w:line="360" w:lineRule="atLeast"/>
      <w:ind w:left="720"/>
      <w:jc w:val="both"/>
    </w:pPr>
    <w:rPr>
      <w:rFonts w:asciiTheme="minorHAnsi" w:eastAsiaTheme="minorHAnsi" w:hAnsiTheme="minorHAnsi" w:cstheme="minorBidi"/>
      <w:lang w:eastAsia="en-US"/>
    </w:rPr>
  </w:style>
  <w:style w:type="paragraph" w:customStyle="1" w:styleId="Default">
    <w:name w:val="Default"/>
    <w:rsid w:val="00473B6B"/>
    <w:pPr>
      <w:autoSpaceDE w:val="0"/>
      <w:autoSpaceDN w:val="0"/>
      <w:adjustRightInd w:val="0"/>
      <w:spacing w:after="0" w:line="240" w:lineRule="auto"/>
    </w:pPr>
    <w:rPr>
      <w:rFonts w:ascii="Lucida Sans Unicode" w:eastAsia="Times New Roman" w:hAnsi="Lucida Sans Unicode" w:cs="Lucida Sans Unicode"/>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195269">
      <w:bodyDiv w:val="1"/>
      <w:marLeft w:val="0"/>
      <w:marRight w:val="0"/>
      <w:marTop w:val="0"/>
      <w:marBottom w:val="0"/>
      <w:divBdr>
        <w:top w:val="none" w:sz="0" w:space="0" w:color="auto"/>
        <w:left w:val="none" w:sz="0" w:space="0" w:color="auto"/>
        <w:bottom w:val="none" w:sz="0" w:space="0" w:color="auto"/>
        <w:right w:val="none" w:sz="0" w:space="0" w:color="auto"/>
      </w:divBdr>
    </w:div>
    <w:div w:id="174896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529D2-10FB-409D-AA21-AA4BA7000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6870</Words>
  <Characters>3917</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Vinogradova</dc:creator>
  <cp:keywords/>
  <dc:description/>
  <cp:lastModifiedBy>Larisa Vinogradova</cp:lastModifiedBy>
  <cp:revision>4</cp:revision>
  <dcterms:created xsi:type="dcterms:W3CDTF">2018-02-19T13:10:00Z</dcterms:created>
  <dcterms:modified xsi:type="dcterms:W3CDTF">2018-02-19T13:15:00Z</dcterms:modified>
</cp:coreProperties>
</file>