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966" w:rsidRDefault="000F4966" w:rsidP="00C8427C">
      <w:pPr>
        <w:tabs>
          <w:tab w:val="right" w:pos="8505"/>
        </w:tabs>
        <w:overflowPunct w:val="0"/>
        <w:autoSpaceDE w:val="0"/>
        <w:adjustRightInd w:val="0"/>
        <w:ind w:right="-1049" w:firstLine="284"/>
        <w:jc w:val="center"/>
        <w:rPr>
          <w:b/>
          <w:color w:val="auto"/>
        </w:rPr>
      </w:pPr>
      <w:r>
        <w:rPr>
          <w:b/>
          <w:color w:val="auto"/>
        </w:rPr>
        <w:t>LĪGUMS Nr.</w:t>
      </w:r>
      <w:r w:rsidR="00DA23A3">
        <w:rPr>
          <w:b/>
          <w:color w:val="auto"/>
        </w:rPr>
        <w:t>8.4/1093</w:t>
      </w:r>
      <w:r>
        <w:rPr>
          <w:b/>
          <w:color w:val="auto"/>
        </w:rPr>
        <w:t xml:space="preserve"> </w:t>
      </w:r>
    </w:p>
    <w:p w:rsidR="000F4966" w:rsidRDefault="000F4966" w:rsidP="00C8427C">
      <w:pPr>
        <w:tabs>
          <w:tab w:val="right" w:pos="8931"/>
        </w:tabs>
        <w:overflowPunct w:val="0"/>
        <w:autoSpaceDE w:val="0"/>
        <w:adjustRightInd w:val="0"/>
        <w:spacing w:after="120"/>
        <w:ind w:right="-1050"/>
        <w:jc w:val="both"/>
        <w:rPr>
          <w:color w:val="auto"/>
        </w:rPr>
      </w:pPr>
      <w:r>
        <w:rPr>
          <w:color w:val="auto"/>
        </w:rPr>
        <w:t>Rēzeknē</w:t>
      </w:r>
      <w:r>
        <w:rPr>
          <w:color w:val="auto"/>
        </w:rPr>
        <w:tab/>
        <w:t xml:space="preserve">                                                                                      </w:t>
      </w:r>
      <w:r w:rsidR="00DA23A3">
        <w:rPr>
          <w:color w:val="auto"/>
        </w:rPr>
        <w:t xml:space="preserve">      </w:t>
      </w:r>
      <w:r>
        <w:rPr>
          <w:color w:val="auto"/>
        </w:rPr>
        <w:t xml:space="preserve"> </w:t>
      </w:r>
      <w:r w:rsidR="00C8427C">
        <w:rPr>
          <w:color w:val="auto"/>
        </w:rPr>
        <w:t xml:space="preserve">       </w:t>
      </w:r>
      <w:r>
        <w:rPr>
          <w:color w:val="auto"/>
        </w:rPr>
        <w:t xml:space="preserve">    </w:t>
      </w:r>
      <w:r w:rsidR="00C8427C">
        <w:rPr>
          <w:color w:val="auto"/>
        </w:rPr>
        <w:t xml:space="preserve">    </w:t>
      </w:r>
      <w:r>
        <w:rPr>
          <w:color w:val="auto"/>
        </w:rPr>
        <w:t xml:space="preserve">2018.gada </w:t>
      </w:r>
      <w:r w:rsidR="00DA23A3">
        <w:rPr>
          <w:color w:val="auto"/>
        </w:rPr>
        <w:t>19</w:t>
      </w:r>
      <w:r>
        <w:rPr>
          <w:color w:val="auto"/>
        </w:rPr>
        <w:t>.</w:t>
      </w:r>
      <w:r w:rsidR="00C8427C">
        <w:rPr>
          <w:color w:val="auto"/>
        </w:rPr>
        <w:t>oktobrī</w:t>
      </w:r>
    </w:p>
    <w:p w:rsidR="000F4966" w:rsidRDefault="000F4966" w:rsidP="00F8645A">
      <w:pPr>
        <w:ind w:right="-1049"/>
        <w:jc w:val="both"/>
        <w:rPr>
          <w:color w:val="auto"/>
        </w:rPr>
      </w:pPr>
      <w:r>
        <w:rPr>
          <w:b/>
          <w:color w:val="auto"/>
        </w:rPr>
        <w:t>Rēzeknes novada pašvaldība</w:t>
      </w:r>
      <w:r>
        <w:rPr>
          <w:color w:val="auto"/>
        </w:rPr>
        <w:t>, reģistrācijas Nr.</w:t>
      </w:r>
      <w:r>
        <w:rPr>
          <w:rFonts w:eastAsia="Calibri"/>
          <w:color w:val="auto"/>
        </w:rPr>
        <w:t>90009112679</w:t>
      </w:r>
      <w:r>
        <w:rPr>
          <w:color w:val="auto"/>
        </w:rPr>
        <w:t xml:space="preserve">, turpmāk </w:t>
      </w:r>
      <w:r>
        <w:rPr>
          <w:b/>
          <w:color w:val="auto"/>
        </w:rPr>
        <w:t xml:space="preserve">– </w:t>
      </w:r>
      <w:r>
        <w:rPr>
          <w:color w:val="auto"/>
        </w:rPr>
        <w:t xml:space="preserve">PASŪTĪTĀJS, no vienas puses, un </w:t>
      </w:r>
      <w:r w:rsidR="00C8427C" w:rsidRPr="002B3A7C">
        <w:rPr>
          <w:b/>
          <w:color w:val="auto"/>
        </w:rPr>
        <w:t>sabiedrība ar ierobežotu atbildību “Ģeodēzists”</w:t>
      </w:r>
      <w:r>
        <w:rPr>
          <w:color w:val="auto"/>
        </w:rPr>
        <w:t>,</w:t>
      </w:r>
      <w:r>
        <w:rPr>
          <w:b/>
          <w:color w:val="auto"/>
        </w:rPr>
        <w:t xml:space="preserve"> </w:t>
      </w:r>
      <w:r>
        <w:rPr>
          <w:color w:val="auto"/>
        </w:rPr>
        <w:t>reģistrācijas Nr.</w:t>
      </w:r>
      <w:r w:rsidR="00C8427C">
        <w:rPr>
          <w:color w:val="auto"/>
        </w:rPr>
        <w:t>41203006878</w:t>
      </w:r>
      <w:r>
        <w:rPr>
          <w:color w:val="auto"/>
        </w:rPr>
        <w:t>, turpmāk – IZPILDĪTĀJS, no otras puses,</w:t>
      </w:r>
      <w:r w:rsidR="002B3A7C">
        <w:rPr>
          <w:color w:val="auto"/>
        </w:rPr>
        <w:t xml:space="preserve"> </w:t>
      </w:r>
      <w:r>
        <w:rPr>
          <w:color w:val="auto"/>
        </w:rPr>
        <w:t>abi</w:t>
      </w:r>
      <w:r w:rsidR="002B3A7C">
        <w:rPr>
          <w:color w:val="auto"/>
        </w:rPr>
        <w:t xml:space="preserve"> k</w:t>
      </w:r>
      <w:r>
        <w:rPr>
          <w:color w:val="auto"/>
        </w:rPr>
        <w:t xml:space="preserve">opā vai katrs atsevišķi turpmāk arī PUSES vai PUSE, pamatojoties uz iepirkuma „Rēzeknes novada vietējā ģeodēziskā tīkla punktu apsekošana un apsekošanas pārskata sagatavošana” (identifikācijas Nr. RNP 2018/27), turpmāk – IEPIRKUMS, un Izpildītāja iesniegto piedāvājumu Iepirkumā, noslēdz līgumu, turpmāk – LĪGUMS, par sekojošo: </w:t>
      </w:r>
    </w:p>
    <w:p w:rsidR="000F4966" w:rsidRDefault="000F4966" w:rsidP="002B3A7C">
      <w:pPr>
        <w:pStyle w:val="ListParagraph"/>
        <w:widowControl/>
        <w:tabs>
          <w:tab w:val="right" w:pos="8505"/>
        </w:tabs>
        <w:overflowPunct w:val="0"/>
        <w:autoSpaceDE w:val="0"/>
        <w:autoSpaceDN w:val="0"/>
        <w:adjustRightInd w:val="0"/>
        <w:ind w:left="357" w:right="-1049"/>
        <w:jc w:val="center"/>
        <w:textAlignment w:val="baseline"/>
        <w:rPr>
          <w:color w:val="auto"/>
        </w:rPr>
      </w:pPr>
      <w:r>
        <w:rPr>
          <w:color w:val="auto"/>
        </w:rPr>
        <w:t>1. LĪGUMA PRIEKŠMETS</w:t>
      </w:r>
    </w:p>
    <w:p w:rsidR="000F4966" w:rsidRDefault="000F4966" w:rsidP="000F4966">
      <w:pPr>
        <w:tabs>
          <w:tab w:val="num" w:pos="720"/>
          <w:tab w:val="num" w:pos="1155"/>
          <w:tab w:val="right" w:pos="8505"/>
        </w:tabs>
        <w:overflowPunct w:val="0"/>
        <w:autoSpaceDE w:val="0"/>
        <w:adjustRightInd w:val="0"/>
        <w:spacing w:after="120"/>
        <w:ind w:right="-1050" w:firstLine="567"/>
        <w:jc w:val="both"/>
        <w:rPr>
          <w:color w:val="auto"/>
        </w:rPr>
      </w:pPr>
      <w:r>
        <w:rPr>
          <w:color w:val="auto"/>
        </w:rPr>
        <w:t>1.1. Pasūtītājs uzdod, un Izpildītājs ar saviem resursiem Līgumā noteiktajā termiņā veic </w:t>
      </w:r>
      <w:r>
        <w:rPr>
          <w:b/>
          <w:color w:val="auto"/>
        </w:rPr>
        <w:t>Rēzeknes novada vietējā ģeodēziskā tīkla punktu apsekošanu un apsekošanas pārskata sagatavošanu</w:t>
      </w:r>
      <w:r>
        <w:rPr>
          <w:color w:val="auto"/>
        </w:rPr>
        <w:t>,</w:t>
      </w:r>
      <w:r>
        <w:rPr>
          <w:b/>
          <w:color w:val="auto"/>
        </w:rPr>
        <w:t xml:space="preserve"> </w:t>
      </w:r>
      <w:r>
        <w:rPr>
          <w:color w:val="auto"/>
        </w:rPr>
        <w:t>turpmāk – PAKALPOJUMS, saskaņā ar tehnisko specifikāciju un piedāvājumu Iepirkumā, kas ir Līguma neatņemamas sastāvdaļas (Līguma pielikumi Nr.1 un Nr.2).</w:t>
      </w:r>
    </w:p>
    <w:p w:rsidR="000F4966" w:rsidRDefault="000F4966" w:rsidP="002B3A7C">
      <w:pPr>
        <w:pStyle w:val="ListParagraph"/>
        <w:widowControl/>
        <w:tabs>
          <w:tab w:val="right" w:pos="8505"/>
        </w:tabs>
        <w:overflowPunct w:val="0"/>
        <w:autoSpaceDE w:val="0"/>
        <w:autoSpaceDN w:val="0"/>
        <w:adjustRightInd w:val="0"/>
        <w:ind w:left="357" w:right="-1050"/>
        <w:jc w:val="center"/>
        <w:textAlignment w:val="baseline"/>
        <w:rPr>
          <w:color w:val="auto"/>
        </w:rPr>
      </w:pPr>
      <w:r>
        <w:rPr>
          <w:color w:val="auto"/>
        </w:rPr>
        <w:t>2. PUŠU SAISTĪBAS</w:t>
      </w:r>
    </w:p>
    <w:p w:rsidR="000F4966" w:rsidRDefault="000F4966" w:rsidP="002B3A7C">
      <w:pPr>
        <w:tabs>
          <w:tab w:val="left" w:pos="900"/>
          <w:tab w:val="right" w:pos="8505"/>
        </w:tabs>
        <w:overflowPunct w:val="0"/>
        <w:autoSpaceDE w:val="0"/>
        <w:adjustRightInd w:val="0"/>
        <w:ind w:right="-1050" w:firstLine="567"/>
        <w:jc w:val="both"/>
        <w:rPr>
          <w:color w:val="auto"/>
        </w:rPr>
      </w:pPr>
      <w:r>
        <w:rPr>
          <w:color w:val="auto"/>
        </w:rPr>
        <w:t>2.1. </w:t>
      </w:r>
      <w:r>
        <w:rPr>
          <w:color w:val="auto"/>
          <w:u w:val="single"/>
        </w:rPr>
        <w:t>Izpildītājs apņemas</w:t>
      </w:r>
      <w:r>
        <w:rPr>
          <w:color w:val="auto"/>
        </w:rPr>
        <w:t xml:space="preserve">: </w:t>
      </w:r>
    </w:p>
    <w:p w:rsidR="000F4966" w:rsidRDefault="000F4966" w:rsidP="002B3A7C">
      <w:pPr>
        <w:pStyle w:val="ListParagraph"/>
        <w:widowControl/>
        <w:numPr>
          <w:ilvl w:val="2"/>
          <w:numId w:val="1"/>
        </w:numPr>
        <w:tabs>
          <w:tab w:val="left" w:pos="1560"/>
        </w:tabs>
        <w:overflowPunct w:val="0"/>
        <w:autoSpaceDE w:val="0"/>
        <w:autoSpaceDN w:val="0"/>
        <w:adjustRightInd w:val="0"/>
        <w:ind w:left="0" w:right="-1050" w:firstLine="993"/>
        <w:jc w:val="both"/>
        <w:textAlignment w:val="baseline"/>
        <w:rPr>
          <w:color w:val="auto"/>
        </w:rPr>
      </w:pPr>
      <w:r>
        <w:rPr>
          <w:color w:val="auto"/>
        </w:rPr>
        <w:t xml:space="preserve">Pakalpojumu sniegt atbilstoši Līgumam pievienotai tehniskai specifikācijai (Līguma pielikums Nr.1) </w:t>
      </w:r>
      <w:r>
        <w:rPr>
          <w:b/>
          <w:color w:val="auto"/>
        </w:rPr>
        <w:t xml:space="preserve">līdz 2019.gada </w:t>
      </w:r>
      <w:r w:rsidR="00DA23A3">
        <w:rPr>
          <w:b/>
          <w:color w:val="auto"/>
        </w:rPr>
        <w:t>19.jūnijam</w:t>
      </w:r>
      <w:r>
        <w:rPr>
          <w:color w:val="auto"/>
        </w:rPr>
        <w:t>;</w:t>
      </w:r>
    </w:p>
    <w:p w:rsidR="000F4966" w:rsidRDefault="000F4966" w:rsidP="002B3A7C">
      <w:pPr>
        <w:pStyle w:val="ListParagraph"/>
        <w:widowControl/>
        <w:numPr>
          <w:ilvl w:val="2"/>
          <w:numId w:val="1"/>
        </w:numPr>
        <w:tabs>
          <w:tab w:val="right" w:pos="0"/>
          <w:tab w:val="left" w:pos="1560"/>
        </w:tabs>
        <w:overflowPunct w:val="0"/>
        <w:autoSpaceDE w:val="0"/>
        <w:autoSpaceDN w:val="0"/>
        <w:adjustRightInd w:val="0"/>
        <w:ind w:left="0" w:right="-1050" w:firstLine="993"/>
        <w:jc w:val="both"/>
        <w:textAlignment w:val="baseline"/>
        <w:rPr>
          <w:color w:val="auto"/>
        </w:rPr>
      </w:pPr>
      <w:r>
        <w:rPr>
          <w:color w:val="auto"/>
        </w:rPr>
        <w:t xml:space="preserve">Pakalpojuma sniegšanu saskaņot ar Rēzeknes novada pašvaldības būvvaldes </w:t>
      </w:r>
      <w:proofErr w:type="spellStart"/>
      <w:r>
        <w:rPr>
          <w:color w:val="auto"/>
        </w:rPr>
        <w:t>būvtehniķi</w:t>
      </w:r>
      <w:proofErr w:type="spellEnd"/>
      <w:r>
        <w:rPr>
          <w:color w:val="auto"/>
        </w:rPr>
        <w:t>;</w:t>
      </w:r>
    </w:p>
    <w:p w:rsidR="000F4966" w:rsidRDefault="000F4966" w:rsidP="002B3A7C">
      <w:pPr>
        <w:pStyle w:val="ListParagraph"/>
        <w:widowControl/>
        <w:numPr>
          <w:ilvl w:val="2"/>
          <w:numId w:val="1"/>
        </w:numPr>
        <w:tabs>
          <w:tab w:val="right" w:pos="0"/>
          <w:tab w:val="left" w:pos="1560"/>
        </w:tabs>
        <w:overflowPunct w:val="0"/>
        <w:autoSpaceDE w:val="0"/>
        <w:autoSpaceDN w:val="0"/>
        <w:adjustRightInd w:val="0"/>
        <w:ind w:left="0" w:right="-1050" w:firstLine="993"/>
        <w:jc w:val="both"/>
        <w:textAlignment w:val="baseline"/>
        <w:rPr>
          <w:color w:val="auto"/>
        </w:rPr>
      </w:pPr>
      <w:r>
        <w:rPr>
          <w:color w:val="auto"/>
        </w:rPr>
        <w:t>sniedzot Pakalpojumu,</w:t>
      </w:r>
      <w:r>
        <w:rPr>
          <w:i/>
          <w:color w:val="auto"/>
        </w:rPr>
        <w:t xml:space="preserve"> </w:t>
      </w:r>
      <w:r>
        <w:rPr>
          <w:color w:val="auto"/>
        </w:rPr>
        <w:t>ievērot visas Latvijas Republikas spēkā esošajos normatīvajos aktos noteiktās prasības;</w:t>
      </w:r>
    </w:p>
    <w:p w:rsidR="000F4966" w:rsidRDefault="000F4966" w:rsidP="002B3A7C">
      <w:pPr>
        <w:pStyle w:val="ListParagraph"/>
        <w:widowControl/>
        <w:numPr>
          <w:ilvl w:val="2"/>
          <w:numId w:val="1"/>
        </w:numPr>
        <w:tabs>
          <w:tab w:val="left" w:pos="1560"/>
        </w:tabs>
        <w:overflowPunct w:val="0"/>
        <w:autoSpaceDE w:val="0"/>
        <w:autoSpaceDN w:val="0"/>
        <w:adjustRightInd w:val="0"/>
        <w:ind w:left="0" w:right="-1050" w:firstLine="993"/>
        <w:jc w:val="both"/>
        <w:textAlignment w:val="baseline"/>
        <w:rPr>
          <w:color w:val="auto"/>
        </w:rPr>
      </w:pPr>
      <w:r>
        <w:rPr>
          <w:color w:val="auto"/>
        </w:rPr>
        <w:t>jebkurā laikā pēc Pasūtītāja pieprasījuma sniegt atskaiti par Pakalpojuma sniegšanas gaitu;</w:t>
      </w:r>
    </w:p>
    <w:p w:rsidR="000F4966" w:rsidRDefault="000F4966" w:rsidP="002B3A7C">
      <w:pPr>
        <w:pStyle w:val="ListParagraph"/>
        <w:widowControl/>
        <w:numPr>
          <w:ilvl w:val="2"/>
          <w:numId w:val="1"/>
        </w:numPr>
        <w:tabs>
          <w:tab w:val="left" w:pos="1560"/>
        </w:tabs>
        <w:overflowPunct w:val="0"/>
        <w:autoSpaceDE w:val="0"/>
        <w:autoSpaceDN w:val="0"/>
        <w:adjustRightInd w:val="0"/>
        <w:ind w:left="0" w:right="-1050" w:firstLine="993"/>
        <w:jc w:val="both"/>
        <w:textAlignment w:val="baseline"/>
        <w:rPr>
          <w:color w:val="auto"/>
        </w:rPr>
      </w:pPr>
      <w:r>
        <w:rPr>
          <w:color w:val="auto"/>
        </w:rPr>
        <w:t>pieprasīt no Pasūtītāja visus Pasūtītāja rīcībā esošos izejas materiālus, kas nepieciešami kvalitatīvai Pakalpojuma sniegšanai Līgumā noteiktajā termiņā;</w:t>
      </w:r>
    </w:p>
    <w:p w:rsidR="000F4966" w:rsidRDefault="000F4966" w:rsidP="002B3A7C">
      <w:pPr>
        <w:pStyle w:val="ListParagraph"/>
        <w:widowControl/>
        <w:numPr>
          <w:ilvl w:val="2"/>
          <w:numId w:val="1"/>
        </w:numPr>
        <w:tabs>
          <w:tab w:val="left" w:pos="1560"/>
        </w:tabs>
        <w:overflowPunct w:val="0"/>
        <w:autoSpaceDE w:val="0"/>
        <w:autoSpaceDN w:val="0"/>
        <w:adjustRightInd w:val="0"/>
        <w:ind w:left="0" w:right="-1050" w:firstLine="993"/>
        <w:jc w:val="both"/>
        <w:textAlignment w:val="baseline"/>
        <w:rPr>
          <w:color w:val="auto"/>
        </w:rPr>
      </w:pPr>
      <w:r>
        <w:rPr>
          <w:color w:val="auto"/>
        </w:rPr>
        <w:t>ar pieņemšanas – nodošanas aktu nodot sniegto Pakalpojumu Pasūtītājam</w:t>
      </w:r>
      <w:r>
        <w:rPr>
          <w:caps/>
          <w:color w:val="auto"/>
        </w:rPr>
        <w:t>;</w:t>
      </w:r>
    </w:p>
    <w:p w:rsidR="000F4966" w:rsidRDefault="000F4966" w:rsidP="002B3A7C">
      <w:pPr>
        <w:pStyle w:val="ListParagraph"/>
        <w:widowControl/>
        <w:numPr>
          <w:ilvl w:val="2"/>
          <w:numId w:val="1"/>
        </w:numPr>
        <w:tabs>
          <w:tab w:val="left" w:pos="1560"/>
        </w:tabs>
        <w:overflowPunct w:val="0"/>
        <w:autoSpaceDE w:val="0"/>
        <w:autoSpaceDN w:val="0"/>
        <w:adjustRightInd w:val="0"/>
        <w:ind w:left="0" w:right="-1050" w:firstLine="993"/>
        <w:jc w:val="both"/>
        <w:textAlignment w:val="baseline"/>
        <w:rPr>
          <w:color w:val="auto"/>
        </w:rPr>
      </w:pPr>
      <w:r>
        <w:rPr>
          <w:color w:val="auto"/>
        </w:rPr>
        <w:t>atlīdzināt Pasūtītājam visus tiešos zaudējumus, kas tam radušies Izpildītāja vai viņa iesaistīto trešo personu vainas vai neuzmanības dēļ viena mēneša laikā no Pasūtītāja pretenzijas nosūtīšanas dienas.</w:t>
      </w:r>
    </w:p>
    <w:p w:rsidR="000F4966" w:rsidRDefault="000F4966" w:rsidP="002B3A7C">
      <w:pPr>
        <w:pStyle w:val="ListParagraph"/>
        <w:widowControl/>
        <w:numPr>
          <w:ilvl w:val="1"/>
          <w:numId w:val="1"/>
        </w:numPr>
        <w:tabs>
          <w:tab w:val="left" w:pos="426"/>
          <w:tab w:val="left" w:pos="851"/>
          <w:tab w:val="left" w:pos="993"/>
        </w:tabs>
        <w:overflowPunct w:val="0"/>
        <w:autoSpaceDE w:val="0"/>
        <w:autoSpaceDN w:val="0"/>
        <w:adjustRightInd w:val="0"/>
        <w:ind w:left="0" w:right="-1050" w:firstLine="567"/>
        <w:jc w:val="both"/>
        <w:textAlignment w:val="baseline"/>
        <w:rPr>
          <w:color w:val="auto"/>
        </w:rPr>
      </w:pPr>
      <w:r>
        <w:rPr>
          <w:color w:val="auto"/>
          <w:u w:val="single"/>
        </w:rPr>
        <w:t>Pasūtītājs apņemas</w:t>
      </w:r>
      <w:r>
        <w:rPr>
          <w:color w:val="auto"/>
        </w:rPr>
        <w:t>:</w:t>
      </w:r>
    </w:p>
    <w:p w:rsidR="000F4966" w:rsidRDefault="000F4966" w:rsidP="002B3A7C">
      <w:pPr>
        <w:tabs>
          <w:tab w:val="right" w:pos="8505"/>
        </w:tabs>
        <w:overflowPunct w:val="0"/>
        <w:autoSpaceDE w:val="0"/>
        <w:adjustRightInd w:val="0"/>
        <w:ind w:right="-1050" w:firstLine="993"/>
        <w:jc w:val="both"/>
        <w:rPr>
          <w:color w:val="auto"/>
        </w:rPr>
      </w:pPr>
      <w:r>
        <w:rPr>
          <w:color w:val="auto"/>
        </w:rPr>
        <w:t>2.2.1. izsniegt Izpildītājam visus Pasūtītāja rīcībā esošos izejas materiālus, kas nepieciešami Pakalpojuma sniegšanai;</w:t>
      </w:r>
    </w:p>
    <w:p w:rsidR="000F4966" w:rsidRDefault="000F4966" w:rsidP="002B3A7C">
      <w:pPr>
        <w:tabs>
          <w:tab w:val="right" w:pos="8505"/>
        </w:tabs>
        <w:overflowPunct w:val="0"/>
        <w:autoSpaceDE w:val="0"/>
        <w:adjustRightInd w:val="0"/>
        <w:ind w:right="-1050" w:firstLine="993"/>
        <w:jc w:val="both"/>
        <w:rPr>
          <w:color w:val="auto"/>
        </w:rPr>
      </w:pPr>
      <w:r>
        <w:rPr>
          <w:color w:val="auto"/>
        </w:rPr>
        <w:t>2.2.2. ar pieņemšanas – nodošanas  aktu pieņemt sniegto Pakalpojumu, ja tas atbilst Līguma nosacījumiem;</w:t>
      </w:r>
    </w:p>
    <w:p w:rsidR="000F4966" w:rsidRDefault="000F4966" w:rsidP="002B3A7C">
      <w:pPr>
        <w:tabs>
          <w:tab w:val="num" w:pos="1080"/>
          <w:tab w:val="right" w:pos="8505"/>
        </w:tabs>
        <w:overflowPunct w:val="0"/>
        <w:autoSpaceDE w:val="0"/>
        <w:adjustRightInd w:val="0"/>
        <w:spacing w:after="120"/>
        <w:ind w:right="-1050" w:firstLine="993"/>
        <w:jc w:val="both"/>
        <w:rPr>
          <w:color w:val="auto"/>
        </w:rPr>
      </w:pPr>
      <w:r>
        <w:rPr>
          <w:color w:val="auto"/>
        </w:rPr>
        <w:t>2.2.3. veikt Līgumā paredzētos maksājumus.</w:t>
      </w:r>
    </w:p>
    <w:p w:rsidR="000F4966" w:rsidRDefault="000F4966" w:rsidP="00612E6D">
      <w:pPr>
        <w:pStyle w:val="ListParagraph"/>
        <w:widowControl/>
        <w:tabs>
          <w:tab w:val="right" w:pos="8505"/>
        </w:tabs>
        <w:overflowPunct w:val="0"/>
        <w:autoSpaceDE w:val="0"/>
        <w:autoSpaceDN w:val="0"/>
        <w:adjustRightInd w:val="0"/>
        <w:ind w:left="0" w:right="-1050"/>
        <w:jc w:val="center"/>
        <w:textAlignment w:val="baseline"/>
        <w:rPr>
          <w:color w:val="auto"/>
        </w:rPr>
      </w:pPr>
      <w:r>
        <w:rPr>
          <w:color w:val="auto"/>
        </w:rPr>
        <w:t>3. PAKALPOJUMA PIEŅEMŠANAS – NODOŠANAS KĀRTĪBA</w:t>
      </w:r>
    </w:p>
    <w:p w:rsidR="000F4966" w:rsidRDefault="000F4966" w:rsidP="000F4966">
      <w:pPr>
        <w:tabs>
          <w:tab w:val="right" w:pos="8505"/>
        </w:tabs>
        <w:overflowPunct w:val="0"/>
        <w:autoSpaceDE w:val="0"/>
        <w:adjustRightInd w:val="0"/>
        <w:ind w:right="-1050" w:firstLine="567"/>
        <w:jc w:val="both"/>
        <w:rPr>
          <w:color w:val="auto"/>
        </w:rPr>
      </w:pPr>
      <w:r>
        <w:rPr>
          <w:color w:val="auto"/>
        </w:rPr>
        <w:t>3.1. Pēc Pakalpojuma sniegšanas pabeigšanas tiek noformēts un abu Pušu parakstīts sniegtā pakalpojuma pieņemšanas – nodošanas akts.</w:t>
      </w:r>
    </w:p>
    <w:p w:rsidR="000F4966" w:rsidRDefault="000F4966" w:rsidP="000F4966">
      <w:pPr>
        <w:tabs>
          <w:tab w:val="right" w:pos="8505"/>
        </w:tabs>
        <w:overflowPunct w:val="0"/>
        <w:autoSpaceDE w:val="0"/>
        <w:adjustRightInd w:val="0"/>
        <w:ind w:right="-1050" w:firstLine="567"/>
        <w:jc w:val="both"/>
        <w:rPr>
          <w:color w:val="auto"/>
        </w:rPr>
      </w:pPr>
      <w:r>
        <w:rPr>
          <w:color w:val="auto"/>
        </w:rPr>
        <w:t xml:space="preserve">3.2. Sniegtā pakalpojuma pieņemšanas – nodošanas aktu, turpmāk – AKTS, sagatavo Izpildītājs un iesniedz to Pasūtītājam. </w:t>
      </w:r>
    </w:p>
    <w:p w:rsidR="00612E6D" w:rsidRDefault="000F4966" w:rsidP="00F8645A">
      <w:pPr>
        <w:tabs>
          <w:tab w:val="right" w:pos="8505"/>
        </w:tabs>
        <w:overflowPunct w:val="0"/>
        <w:autoSpaceDE w:val="0"/>
        <w:adjustRightInd w:val="0"/>
        <w:spacing w:after="120"/>
        <w:ind w:right="-1050" w:firstLine="567"/>
        <w:jc w:val="both"/>
        <w:rPr>
          <w:color w:val="auto"/>
        </w:rPr>
      </w:pPr>
      <w:r>
        <w:rPr>
          <w:color w:val="auto"/>
        </w:rPr>
        <w:t xml:space="preserve">3.3. Gadījumā, ja Pasūtītājs </w:t>
      </w:r>
      <w:r>
        <w:rPr>
          <w:caps/>
          <w:color w:val="auto"/>
        </w:rPr>
        <w:t>10 (</w:t>
      </w:r>
      <w:r>
        <w:rPr>
          <w:color w:val="auto"/>
        </w:rPr>
        <w:t>desmit) darba dienu laikā no Akta saņemšanas izvirza pamatotas pretenzijas par sniegtā Pakalpojuma kvalitāti, tam ir tiesības neparakstīt sniegtā pakalpojuma pieņemšanas – nodošanas aktu, un Izpildītājam ir pienākums 3 (triju) darba dienu laikā novērst pieļautās kļūdas un neprecizitātes.</w:t>
      </w:r>
    </w:p>
    <w:p w:rsidR="000F4966" w:rsidRDefault="000F4966" w:rsidP="0036355D">
      <w:pPr>
        <w:pStyle w:val="ListParagraph"/>
        <w:widowControl/>
        <w:tabs>
          <w:tab w:val="right" w:pos="8505"/>
        </w:tabs>
        <w:overflowPunct w:val="0"/>
        <w:autoSpaceDE w:val="0"/>
        <w:autoSpaceDN w:val="0"/>
        <w:adjustRightInd w:val="0"/>
        <w:ind w:left="539" w:right="-1050"/>
        <w:jc w:val="center"/>
        <w:textAlignment w:val="baseline"/>
        <w:rPr>
          <w:color w:val="auto"/>
        </w:rPr>
      </w:pPr>
      <w:r>
        <w:rPr>
          <w:color w:val="auto"/>
        </w:rPr>
        <w:t>4. LĪGUMCENA UN NORĒĶINU KĀRTĪBA</w:t>
      </w:r>
    </w:p>
    <w:p w:rsidR="000F4966" w:rsidRDefault="000F4966" w:rsidP="0036355D">
      <w:pPr>
        <w:tabs>
          <w:tab w:val="right" w:pos="8505"/>
        </w:tabs>
        <w:overflowPunct w:val="0"/>
        <w:autoSpaceDE w:val="0"/>
        <w:adjustRightInd w:val="0"/>
        <w:ind w:right="-1050" w:firstLine="567"/>
        <w:jc w:val="both"/>
        <w:rPr>
          <w:color w:val="auto"/>
        </w:rPr>
      </w:pPr>
      <w:r>
        <w:rPr>
          <w:color w:val="auto"/>
        </w:rPr>
        <w:t xml:space="preserve">4.1. Kopējā līgumcena par Līguma 1.1.punktā paredzēto Pakalpojumu </w:t>
      </w:r>
      <w:r w:rsidRPr="0036355D">
        <w:rPr>
          <w:b/>
          <w:color w:val="auto"/>
        </w:rPr>
        <w:t xml:space="preserve">EUR </w:t>
      </w:r>
      <w:r w:rsidR="008A6F37" w:rsidRPr="0036355D">
        <w:rPr>
          <w:b/>
          <w:color w:val="auto"/>
        </w:rPr>
        <w:t>8131,20</w:t>
      </w:r>
      <w:r>
        <w:rPr>
          <w:color w:val="auto"/>
        </w:rPr>
        <w:t xml:space="preserve"> (</w:t>
      </w:r>
      <w:r w:rsidR="0036355D" w:rsidRPr="0036355D">
        <w:rPr>
          <w:b/>
          <w:color w:val="auto"/>
        </w:rPr>
        <w:t xml:space="preserve">astoņi tūkstoši viens simts trīsdesmit viens </w:t>
      </w:r>
      <w:proofErr w:type="spellStart"/>
      <w:r w:rsidR="0036355D" w:rsidRPr="0036355D">
        <w:rPr>
          <w:b/>
          <w:i/>
          <w:color w:val="auto"/>
        </w:rPr>
        <w:t>euro</w:t>
      </w:r>
      <w:proofErr w:type="spellEnd"/>
      <w:r w:rsidR="0036355D">
        <w:rPr>
          <w:color w:val="auto"/>
        </w:rPr>
        <w:t xml:space="preserve">, </w:t>
      </w:r>
      <w:r w:rsidR="0036355D" w:rsidRPr="0036355D">
        <w:rPr>
          <w:b/>
          <w:color w:val="auto"/>
        </w:rPr>
        <w:t>20 centi</w:t>
      </w:r>
      <w:r>
        <w:rPr>
          <w:color w:val="auto"/>
        </w:rPr>
        <w:t xml:space="preserve">), tajā skaitā pievienotās vērtības nodokļa, </w:t>
      </w:r>
      <w:r>
        <w:rPr>
          <w:color w:val="auto"/>
        </w:rPr>
        <w:lastRenderedPageBreak/>
        <w:t xml:space="preserve">turpmāk – PVN (21%) summa –   EUR </w:t>
      </w:r>
      <w:r w:rsidR="0036355D">
        <w:rPr>
          <w:color w:val="auto"/>
        </w:rPr>
        <w:t xml:space="preserve">1411,20 (viens tūkstotis četri simti vienpadsmit </w:t>
      </w:r>
      <w:proofErr w:type="spellStart"/>
      <w:r w:rsidR="0036355D" w:rsidRPr="0036355D">
        <w:rPr>
          <w:i/>
          <w:color w:val="auto"/>
        </w:rPr>
        <w:t>euro</w:t>
      </w:r>
      <w:proofErr w:type="spellEnd"/>
      <w:r w:rsidR="0036355D">
        <w:rPr>
          <w:color w:val="auto"/>
        </w:rPr>
        <w:t>, 20 centi)</w:t>
      </w:r>
      <w:r>
        <w:rPr>
          <w:color w:val="auto"/>
        </w:rPr>
        <w:t xml:space="preserve">. </w:t>
      </w:r>
      <w:r w:rsidRPr="0036355D">
        <w:rPr>
          <w:color w:val="auto"/>
          <w:u w:val="single"/>
        </w:rPr>
        <w:t xml:space="preserve">Kopējā līgumcena, neieskaitot PVN – EUR </w:t>
      </w:r>
      <w:r w:rsidR="0036355D" w:rsidRPr="0036355D">
        <w:rPr>
          <w:color w:val="auto"/>
          <w:u w:val="single"/>
        </w:rPr>
        <w:t xml:space="preserve">6720,00 (seši tūkstoši septiņi simti divdesmit </w:t>
      </w:r>
      <w:proofErr w:type="spellStart"/>
      <w:r w:rsidR="0036355D" w:rsidRPr="0036355D">
        <w:rPr>
          <w:i/>
          <w:color w:val="auto"/>
          <w:u w:val="single"/>
        </w:rPr>
        <w:t>euro</w:t>
      </w:r>
      <w:proofErr w:type="spellEnd"/>
      <w:r w:rsidR="0036355D" w:rsidRPr="0036355D">
        <w:rPr>
          <w:color w:val="auto"/>
          <w:u w:val="single"/>
        </w:rPr>
        <w:t>, 00 centi)</w:t>
      </w:r>
      <w:r>
        <w:rPr>
          <w:color w:val="auto"/>
        </w:rPr>
        <w:t>.</w:t>
      </w:r>
    </w:p>
    <w:p w:rsidR="000F4966" w:rsidRDefault="000F4966" w:rsidP="0036355D">
      <w:pPr>
        <w:tabs>
          <w:tab w:val="right" w:pos="8505"/>
        </w:tabs>
        <w:overflowPunct w:val="0"/>
        <w:autoSpaceDE w:val="0"/>
        <w:adjustRightInd w:val="0"/>
        <w:ind w:right="-1050" w:firstLine="567"/>
        <w:jc w:val="both"/>
        <w:rPr>
          <w:color w:val="auto"/>
        </w:rPr>
      </w:pPr>
      <w:r>
        <w:rPr>
          <w:color w:val="auto"/>
        </w:rPr>
        <w:t xml:space="preserve">4.2. Pasūtītājs 15 (piecpadsmit) dienu laikā no Līguma noslēgšanas un Izpildītāja avansa rēķina saņemšanas veic priekšapmaksu 20% (divdesmit procentu) apmērā no kopējās līgumcenas, kas sastāda EUR </w:t>
      </w:r>
      <w:r w:rsidR="0036355D">
        <w:rPr>
          <w:color w:val="auto"/>
        </w:rPr>
        <w:t>1626,24</w:t>
      </w:r>
      <w:r>
        <w:rPr>
          <w:color w:val="auto"/>
        </w:rPr>
        <w:t xml:space="preserve"> (</w:t>
      </w:r>
      <w:r w:rsidR="0036355D">
        <w:rPr>
          <w:color w:val="auto"/>
        </w:rPr>
        <w:t xml:space="preserve">viens tūkstotis seši simti divdesmit seši </w:t>
      </w:r>
      <w:proofErr w:type="spellStart"/>
      <w:r w:rsidR="0036355D" w:rsidRPr="0036355D">
        <w:rPr>
          <w:i/>
          <w:color w:val="auto"/>
        </w:rPr>
        <w:t>euro</w:t>
      </w:r>
      <w:proofErr w:type="spellEnd"/>
      <w:r w:rsidR="0036355D">
        <w:rPr>
          <w:color w:val="auto"/>
        </w:rPr>
        <w:t>, 24 centi</w:t>
      </w:r>
      <w:r>
        <w:rPr>
          <w:color w:val="auto"/>
        </w:rPr>
        <w:t xml:space="preserve">), tajā skaitā PVN – EUR </w:t>
      </w:r>
      <w:r w:rsidR="0036355D">
        <w:rPr>
          <w:color w:val="auto"/>
        </w:rPr>
        <w:t xml:space="preserve">282,24 (divi simti astoņdesmit divi </w:t>
      </w:r>
      <w:proofErr w:type="spellStart"/>
      <w:r w:rsidR="0036355D" w:rsidRPr="0036355D">
        <w:rPr>
          <w:i/>
          <w:color w:val="auto"/>
        </w:rPr>
        <w:t>euro</w:t>
      </w:r>
      <w:proofErr w:type="spellEnd"/>
      <w:r w:rsidR="0036355D">
        <w:rPr>
          <w:color w:val="auto"/>
        </w:rPr>
        <w:t>, 24 centi)</w:t>
      </w:r>
      <w:r>
        <w:rPr>
          <w:color w:val="auto"/>
        </w:rPr>
        <w:t xml:space="preserve">. </w:t>
      </w:r>
    </w:p>
    <w:p w:rsidR="000F4966" w:rsidRDefault="000F4966" w:rsidP="0036355D">
      <w:pPr>
        <w:tabs>
          <w:tab w:val="right" w:pos="8505"/>
        </w:tabs>
        <w:overflowPunct w:val="0"/>
        <w:autoSpaceDE w:val="0"/>
        <w:adjustRightInd w:val="0"/>
        <w:ind w:right="-1050" w:firstLine="567"/>
        <w:jc w:val="both"/>
        <w:rPr>
          <w:color w:val="auto"/>
        </w:rPr>
      </w:pPr>
      <w:r>
        <w:rPr>
          <w:color w:val="auto"/>
        </w:rPr>
        <w:t xml:space="preserve">4.3. Kopējā līgumcenā ietvertas visas ar Līguma izpildi saistītas izmaksas, visi iespējamie Izpildītāja izdevumi, kas nepieciešami saistību izpildei Līguma ietvaros, kā arī visi ar Līguma izpildi saistītie nodokļi un nodevas. </w:t>
      </w:r>
    </w:p>
    <w:p w:rsidR="000F4966" w:rsidRDefault="000F4966" w:rsidP="0036355D">
      <w:pPr>
        <w:tabs>
          <w:tab w:val="right" w:pos="8505"/>
        </w:tabs>
        <w:overflowPunct w:val="0"/>
        <w:autoSpaceDE w:val="0"/>
        <w:adjustRightInd w:val="0"/>
        <w:spacing w:after="120"/>
        <w:ind w:right="-1050" w:firstLine="567"/>
        <w:jc w:val="both"/>
        <w:rPr>
          <w:color w:val="auto"/>
        </w:rPr>
      </w:pPr>
      <w:r>
        <w:rPr>
          <w:color w:val="auto"/>
        </w:rPr>
        <w:t>4.4. Gala norēķins par sniegto Pakalpojumu tiek veikts 15 (piecpadsmit) dienu laikā pēc pieņemšanas – nodošanas akta abpusējas parakstīšanas un Izpildītāja rēķina saņemšanas.</w:t>
      </w:r>
    </w:p>
    <w:p w:rsidR="000F4966" w:rsidRDefault="000F4966" w:rsidP="0036355D">
      <w:pPr>
        <w:pStyle w:val="ListParagraph"/>
        <w:widowControl/>
        <w:tabs>
          <w:tab w:val="right" w:pos="8505"/>
        </w:tabs>
        <w:overflowPunct w:val="0"/>
        <w:autoSpaceDE w:val="0"/>
        <w:autoSpaceDN w:val="0"/>
        <w:adjustRightInd w:val="0"/>
        <w:ind w:left="539" w:right="-1049"/>
        <w:jc w:val="center"/>
        <w:textAlignment w:val="baseline"/>
        <w:rPr>
          <w:color w:val="auto"/>
        </w:rPr>
      </w:pPr>
      <w:r>
        <w:rPr>
          <w:color w:val="auto"/>
        </w:rPr>
        <w:t>5. GARANTIJAS</w:t>
      </w:r>
    </w:p>
    <w:p w:rsidR="000F4966" w:rsidRDefault="000F4966" w:rsidP="0036355D">
      <w:pPr>
        <w:tabs>
          <w:tab w:val="left" w:pos="794"/>
          <w:tab w:val="left" w:pos="1191"/>
          <w:tab w:val="left" w:pos="1588"/>
          <w:tab w:val="left" w:pos="1985"/>
          <w:tab w:val="left" w:pos="2382"/>
          <w:tab w:val="left" w:pos="2779"/>
          <w:tab w:val="left" w:pos="3176"/>
          <w:tab w:val="left" w:pos="3573"/>
          <w:tab w:val="left" w:pos="3970"/>
          <w:tab w:val="left" w:pos="4367"/>
          <w:tab w:val="left" w:pos="4764"/>
          <w:tab w:val="right" w:pos="8505"/>
        </w:tabs>
        <w:overflowPunct w:val="0"/>
        <w:autoSpaceDE w:val="0"/>
        <w:adjustRightInd w:val="0"/>
        <w:spacing w:after="120"/>
        <w:ind w:right="-1050" w:firstLine="567"/>
        <w:jc w:val="both"/>
        <w:rPr>
          <w:color w:val="auto"/>
          <w:lang w:eastAsia="lv-LV"/>
        </w:rPr>
      </w:pPr>
      <w:r>
        <w:rPr>
          <w:color w:val="auto"/>
          <w:lang w:eastAsia="lv-LV"/>
        </w:rPr>
        <w:t>5.1. Izpildītājs atbild par sniegtā Pakalpojuma kvalitāti un atbilstību visām Latvijas Republikā spēkā esošajos normatīvajos aktos noteiktajām prasībām.</w:t>
      </w:r>
    </w:p>
    <w:p w:rsidR="000F4966" w:rsidRDefault="000F4966" w:rsidP="0036355D">
      <w:pPr>
        <w:pStyle w:val="ListParagraph"/>
        <w:tabs>
          <w:tab w:val="left" w:pos="397"/>
          <w:tab w:val="left" w:pos="794"/>
          <w:tab w:val="left" w:pos="1191"/>
          <w:tab w:val="left" w:pos="1588"/>
          <w:tab w:val="left" w:pos="1985"/>
          <w:tab w:val="left" w:pos="2268"/>
          <w:tab w:val="left" w:pos="2779"/>
          <w:tab w:val="left" w:pos="3176"/>
          <w:tab w:val="left" w:pos="3573"/>
          <w:tab w:val="left" w:pos="3970"/>
          <w:tab w:val="left" w:pos="4367"/>
          <w:tab w:val="left" w:pos="4764"/>
          <w:tab w:val="right" w:pos="8505"/>
        </w:tabs>
        <w:overflowPunct w:val="0"/>
        <w:autoSpaceDE w:val="0"/>
        <w:autoSpaceDN w:val="0"/>
        <w:adjustRightInd w:val="0"/>
        <w:ind w:left="539" w:right="-1049"/>
        <w:jc w:val="center"/>
        <w:textAlignment w:val="baseline"/>
        <w:rPr>
          <w:color w:val="auto"/>
          <w:lang w:eastAsia="lv-LV"/>
        </w:rPr>
      </w:pPr>
      <w:r>
        <w:rPr>
          <w:color w:val="auto"/>
          <w:lang w:eastAsia="lv-LV"/>
        </w:rPr>
        <w:t>6. PUŠU ATBILDĪBA UN STRĪDU RISINĀŠANA</w:t>
      </w:r>
    </w:p>
    <w:p w:rsidR="000F4966" w:rsidRDefault="000F4966" w:rsidP="0036355D">
      <w:pPr>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 w:val="right" w:pos="8505"/>
        </w:tabs>
        <w:overflowPunct w:val="0"/>
        <w:autoSpaceDE w:val="0"/>
        <w:adjustRightInd w:val="0"/>
        <w:ind w:right="-1050" w:firstLine="567"/>
        <w:jc w:val="both"/>
        <w:rPr>
          <w:color w:val="auto"/>
          <w:lang w:eastAsia="lv-LV"/>
        </w:rPr>
      </w:pPr>
      <w:r>
        <w:rPr>
          <w:color w:val="auto"/>
          <w:lang w:eastAsia="lv-LV"/>
        </w:rPr>
        <w:t>6.1. Par līgumsaistību neizpildi vai nepienācīgu izpildi Puses ir atbildīgas saskaņā ar Latvijas Republikā spēkā esošajiem normatīvajiem aktiem un Līguma nosacījumiem.</w:t>
      </w:r>
    </w:p>
    <w:p w:rsidR="000F4966" w:rsidRDefault="000F4966" w:rsidP="0036355D">
      <w:pPr>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 w:val="right" w:pos="8505"/>
        </w:tabs>
        <w:overflowPunct w:val="0"/>
        <w:autoSpaceDE w:val="0"/>
        <w:adjustRightInd w:val="0"/>
        <w:ind w:right="-1050" w:firstLine="567"/>
        <w:jc w:val="both"/>
        <w:rPr>
          <w:color w:val="auto"/>
          <w:lang w:eastAsia="lv-LV"/>
        </w:rPr>
      </w:pPr>
      <w:r>
        <w:rPr>
          <w:color w:val="auto"/>
          <w:lang w:eastAsia="lv-LV"/>
        </w:rPr>
        <w:t>6.2. Par Pakalpojuma sniegšanas termiņa nokavējumu Pasūtītājs ir tiesīgs piemērot Izpildītājam līgumsodu 0,5% (nulle komats pieci procenti) apmērā no līgumcenas par katru kavējuma dienu, bet ne vairāk par 10% (desmit procentiem) no kopējās līgumcenas.</w:t>
      </w:r>
    </w:p>
    <w:p w:rsidR="000F4966" w:rsidRDefault="000F4966" w:rsidP="0036355D">
      <w:pPr>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 w:val="right" w:pos="8505"/>
        </w:tabs>
        <w:overflowPunct w:val="0"/>
        <w:autoSpaceDE w:val="0"/>
        <w:adjustRightInd w:val="0"/>
        <w:ind w:right="-1050" w:firstLine="567"/>
        <w:jc w:val="both"/>
        <w:rPr>
          <w:color w:val="auto"/>
          <w:lang w:eastAsia="lv-LV"/>
        </w:rPr>
      </w:pPr>
      <w:r>
        <w:rPr>
          <w:color w:val="auto"/>
          <w:lang w:eastAsia="lv-LV"/>
        </w:rPr>
        <w:t>6.3. Maksājuma nokavējuma gadījumā Izpildītājs ir tiesīgs piemērot Pasūtītājam līgumsodu 0,5% (nulle komats pieci procenti) apmērā no kavētā maksājuma summas par katru kavējuma dienu, bet ne vairāk par</w:t>
      </w:r>
      <w:r>
        <w:rPr>
          <w:color w:val="auto"/>
          <w:lang w:eastAsia="lv-LV"/>
        </w:rPr>
        <w:tab/>
        <w:t>10% (desmit procentiem) no kopējās līgumcenas.</w:t>
      </w:r>
    </w:p>
    <w:p w:rsidR="000F4966" w:rsidRDefault="000F4966" w:rsidP="0036355D">
      <w:pPr>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 w:val="right" w:pos="8505"/>
        </w:tabs>
        <w:overflowPunct w:val="0"/>
        <w:autoSpaceDE w:val="0"/>
        <w:adjustRightInd w:val="0"/>
        <w:ind w:right="-1050" w:firstLine="567"/>
        <w:jc w:val="both"/>
        <w:rPr>
          <w:color w:val="auto"/>
          <w:lang w:eastAsia="lv-LV"/>
        </w:rPr>
      </w:pPr>
      <w:r>
        <w:rPr>
          <w:color w:val="auto"/>
          <w:lang w:eastAsia="lv-LV"/>
        </w:rPr>
        <w:t>6.4. Līgumsoda samaksa neatbrīvo Puses no saistību izpildes.</w:t>
      </w:r>
    </w:p>
    <w:p w:rsidR="000F4966" w:rsidRDefault="000F4966" w:rsidP="0036355D">
      <w:pPr>
        <w:tabs>
          <w:tab w:val="left" w:pos="794"/>
          <w:tab w:val="left" w:pos="1191"/>
          <w:tab w:val="left" w:pos="1588"/>
          <w:tab w:val="left" w:pos="1985"/>
          <w:tab w:val="left" w:pos="2382"/>
          <w:tab w:val="left" w:pos="2779"/>
          <w:tab w:val="left" w:pos="3176"/>
          <w:tab w:val="left" w:pos="3573"/>
          <w:tab w:val="left" w:pos="3970"/>
          <w:tab w:val="left" w:pos="4367"/>
          <w:tab w:val="left" w:pos="4764"/>
          <w:tab w:val="right" w:pos="8505"/>
        </w:tabs>
        <w:overflowPunct w:val="0"/>
        <w:autoSpaceDE w:val="0"/>
        <w:adjustRightInd w:val="0"/>
        <w:ind w:right="-1050" w:firstLine="567"/>
        <w:jc w:val="both"/>
        <w:rPr>
          <w:color w:val="auto"/>
          <w:lang w:eastAsia="lv-LV"/>
        </w:rPr>
      </w:pPr>
      <w:r>
        <w:rPr>
          <w:color w:val="auto"/>
          <w:lang w:eastAsia="lv-LV"/>
        </w:rPr>
        <w:t>6.5. Visus ar Līgumu saistītos strīdus Puses risina, savstarpēji vienojoties, bet gadījumā, ja vienošanās netiek panākta – tiesā, saskaņā ar Latvijas Republikā spēkā esošajiem normatīvajiem aktiem.</w:t>
      </w:r>
    </w:p>
    <w:p w:rsidR="000F4966" w:rsidRDefault="000F4966" w:rsidP="0036355D">
      <w:pPr>
        <w:pStyle w:val="ListParagraph"/>
        <w:tabs>
          <w:tab w:val="right" w:pos="8505"/>
        </w:tabs>
        <w:overflowPunct w:val="0"/>
        <w:autoSpaceDE w:val="0"/>
        <w:autoSpaceDN w:val="0"/>
        <w:adjustRightInd w:val="0"/>
        <w:ind w:left="539" w:right="-1049"/>
        <w:jc w:val="center"/>
        <w:textAlignment w:val="baseline"/>
        <w:rPr>
          <w:caps/>
          <w:color w:val="auto"/>
          <w:lang w:eastAsia="lv-LV"/>
        </w:rPr>
      </w:pPr>
      <w:r>
        <w:rPr>
          <w:caps/>
          <w:color w:val="auto"/>
          <w:lang w:eastAsia="lv-LV"/>
        </w:rPr>
        <w:t>7. līGUMA DARBĪBAS LAIKS, TĀ GROZĪŠANAS UN IZBEIGŠANAS KĀRTĪBA</w:t>
      </w:r>
    </w:p>
    <w:p w:rsidR="000F4966" w:rsidRDefault="000F4966" w:rsidP="0036355D">
      <w:pPr>
        <w:tabs>
          <w:tab w:val="right" w:pos="8505"/>
        </w:tabs>
        <w:overflowPunct w:val="0"/>
        <w:autoSpaceDE w:val="0"/>
        <w:adjustRightInd w:val="0"/>
        <w:ind w:right="-1050" w:firstLine="567"/>
        <w:jc w:val="both"/>
        <w:rPr>
          <w:color w:val="auto"/>
          <w:lang w:eastAsia="lv-LV"/>
        </w:rPr>
      </w:pPr>
      <w:r>
        <w:rPr>
          <w:color w:val="auto"/>
          <w:lang w:eastAsia="lv-LV"/>
        </w:rPr>
        <w:t>7.1. Līgums stājas spēkā tā parakstīšanas dienā un ir spēkā līdz Pušu saistību izpildei vai tā izbeigšanai Līgumā noteiktajā kārtībā.</w:t>
      </w:r>
    </w:p>
    <w:p w:rsidR="000F4966" w:rsidRDefault="000F4966" w:rsidP="0036355D">
      <w:pPr>
        <w:tabs>
          <w:tab w:val="right" w:pos="8505"/>
        </w:tabs>
        <w:overflowPunct w:val="0"/>
        <w:autoSpaceDE w:val="0"/>
        <w:adjustRightInd w:val="0"/>
        <w:ind w:right="-1050" w:firstLine="567"/>
        <w:jc w:val="both"/>
        <w:rPr>
          <w:color w:val="auto"/>
          <w:lang w:eastAsia="lv-LV"/>
        </w:rPr>
      </w:pPr>
      <w:r>
        <w:rPr>
          <w:color w:val="auto"/>
          <w:lang w:eastAsia="lv-LV"/>
        </w:rPr>
        <w:t xml:space="preserve">7.2. Līgumu var grozīt vai izbeigt Pusēm </w:t>
      </w:r>
      <w:proofErr w:type="spellStart"/>
      <w:r>
        <w:rPr>
          <w:color w:val="auto"/>
          <w:lang w:eastAsia="lv-LV"/>
        </w:rPr>
        <w:t>rakstveidā</w:t>
      </w:r>
      <w:proofErr w:type="spellEnd"/>
      <w:r>
        <w:rPr>
          <w:color w:val="auto"/>
          <w:lang w:eastAsia="lv-LV"/>
        </w:rPr>
        <w:t xml:space="preserve"> vienojoties, saskaņā ar Latvijas Republikā spēkā esošajiem normatīvajiem aktiem.</w:t>
      </w:r>
    </w:p>
    <w:p w:rsidR="000F4966" w:rsidRDefault="000F4966" w:rsidP="0036355D">
      <w:pPr>
        <w:tabs>
          <w:tab w:val="right" w:pos="8505"/>
        </w:tabs>
        <w:overflowPunct w:val="0"/>
        <w:autoSpaceDE w:val="0"/>
        <w:adjustRightInd w:val="0"/>
        <w:ind w:right="-1050" w:firstLine="567"/>
        <w:jc w:val="both"/>
        <w:rPr>
          <w:color w:val="auto"/>
          <w:lang w:eastAsia="lv-LV"/>
        </w:rPr>
      </w:pPr>
      <w:r>
        <w:rPr>
          <w:color w:val="auto"/>
          <w:lang w:eastAsia="lv-LV"/>
        </w:rPr>
        <w:t>7.3. Gadījumā, ja Izpildītājs nepilda savas līgumsaistības un pēc Pasūtītāja rakstveida brīdinājuma saņemšanas turpina tās nepildīt, Pasūtītājs ir tiesīgs atkāpties no Līguma un izbeigt to vienpusējā kārtā. Līgums tiek uzskatīts par izbeigtu Pasūtītāja paziņojumā norādītajā datumā. Šādā gadījumā Izpildītājs atlīdzina Pasūtītājam visus tiešos un netiešos zaudējumus, kā arī maksā līgumsodu 10% (desmit procentu) apmērā no kopējās līgumcenas 10 (desmit) darba dienu laikā pēc attiecīga paziņojuma saņemšanas. Pasūtītājs samaksā Izpildītājam tikai par tādu Pakalpojumu, kas ir sniegts pienācīgi, atbilstoši Līguma nosacījumiem.</w:t>
      </w:r>
    </w:p>
    <w:p w:rsidR="000F4966" w:rsidRDefault="000F4966" w:rsidP="0036355D">
      <w:pPr>
        <w:keepLines/>
        <w:tabs>
          <w:tab w:val="right" w:pos="8505"/>
        </w:tabs>
        <w:overflowPunct w:val="0"/>
        <w:autoSpaceDE w:val="0"/>
        <w:adjustRightInd w:val="0"/>
        <w:ind w:right="-1050" w:firstLine="567"/>
        <w:jc w:val="both"/>
        <w:rPr>
          <w:color w:val="auto"/>
          <w:lang w:eastAsia="lv-LV"/>
        </w:rPr>
      </w:pPr>
      <w:r>
        <w:rPr>
          <w:color w:val="auto"/>
          <w:lang w:eastAsia="lv-LV"/>
        </w:rPr>
        <w:t>7.4. Neviena no Pusēm neatbild par Līgumā noteikto saistību nepildīšanu, ja tā notikusi nepārvaramas varas apstākļu rezultātā, piemēram: dabas katastrofas, sociālie konflikti, kā arī jaunu normatīvo aktu ieviešana, kas aizliedz Līgumā paredzēto darbību.</w:t>
      </w:r>
    </w:p>
    <w:p w:rsidR="000F4966" w:rsidRDefault="000F4966" w:rsidP="0036355D">
      <w:pPr>
        <w:tabs>
          <w:tab w:val="right" w:pos="8505"/>
        </w:tabs>
        <w:overflowPunct w:val="0"/>
        <w:autoSpaceDE w:val="0"/>
        <w:adjustRightInd w:val="0"/>
        <w:spacing w:after="120"/>
        <w:ind w:right="-1049" w:firstLine="567"/>
        <w:jc w:val="both"/>
        <w:rPr>
          <w:color w:val="auto"/>
          <w:lang w:eastAsia="lv-LV"/>
        </w:rPr>
      </w:pPr>
      <w:r>
        <w:rPr>
          <w:color w:val="auto"/>
          <w:lang w:eastAsia="lv-LV"/>
        </w:rPr>
        <w:t>7.5. Katra no Pusēm 3 (triju) dienu laikā informē otru Pusi par iepriekš minēto nepārvaramas varas apstākļu iestāšanos. Puses savstarpēji vienojas par Līgumā noteikto termiņu pagarināšanu vai Līguma izbeigšanu.</w:t>
      </w:r>
    </w:p>
    <w:p w:rsidR="000F4966" w:rsidRDefault="000F4966" w:rsidP="0036355D">
      <w:pPr>
        <w:pStyle w:val="ListParagraph"/>
        <w:tabs>
          <w:tab w:val="right" w:pos="8505"/>
        </w:tabs>
        <w:overflowPunct w:val="0"/>
        <w:autoSpaceDE w:val="0"/>
        <w:autoSpaceDN w:val="0"/>
        <w:adjustRightInd w:val="0"/>
        <w:ind w:left="539" w:right="-1049"/>
        <w:jc w:val="center"/>
        <w:textAlignment w:val="baseline"/>
        <w:rPr>
          <w:caps/>
          <w:color w:val="auto"/>
          <w:lang w:eastAsia="lv-LV"/>
        </w:rPr>
      </w:pPr>
      <w:r>
        <w:rPr>
          <w:caps/>
          <w:color w:val="auto"/>
          <w:lang w:eastAsia="lv-LV"/>
        </w:rPr>
        <w:t>8. CITI NOSACĪJUMI</w:t>
      </w:r>
    </w:p>
    <w:p w:rsidR="000F4966" w:rsidRDefault="000F4966" w:rsidP="0036355D">
      <w:pPr>
        <w:tabs>
          <w:tab w:val="left" w:pos="8100"/>
          <w:tab w:val="right" w:pos="8505"/>
        </w:tabs>
        <w:overflowPunct w:val="0"/>
        <w:autoSpaceDE w:val="0"/>
        <w:adjustRightInd w:val="0"/>
        <w:ind w:right="-1050" w:firstLine="567"/>
        <w:jc w:val="both"/>
        <w:rPr>
          <w:color w:val="auto"/>
        </w:rPr>
      </w:pPr>
      <w:r>
        <w:rPr>
          <w:color w:val="auto"/>
        </w:rPr>
        <w:t xml:space="preserve">8.1.Pasūtītāja pilnvarotais pārstāvis ir </w:t>
      </w:r>
      <w:r w:rsidR="0036355D">
        <w:rPr>
          <w:color w:val="auto"/>
        </w:rPr>
        <w:t xml:space="preserve">Kristaps </w:t>
      </w:r>
      <w:proofErr w:type="spellStart"/>
      <w:r w:rsidR="0036355D">
        <w:rPr>
          <w:color w:val="auto"/>
        </w:rPr>
        <w:t>Kaļva</w:t>
      </w:r>
      <w:proofErr w:type="spellEnd"/>
      <w:r>
        <w:rPr>
          <w:color w:val="auto"/>
        </w:rPr>
        <w:t>. Pasūtītāja pilnvarotajam pārstāvim ir tiesības pēc brīvas izvēles principa piedalīties ģeodēziskā tīkla punktu apsekošanā.</w:t>
      </w:r>
    </w:p>
    <w:p w:rsidR="000F4966" w:rsidRDefault="000F4966" w:rsidP="0036355D">
      <w:pPr>
        <w:tabs>
          <w:tab w:val="left" w:pos="794"/>
          <w:tab w:val="left" w:pos="900"/>
          <w:tab w:val="left" w:pos="8100"/>
          <w:tab w:val="right" w:pos="8505"/>
        </w:tabs>
        <w:overflowPunct w:val="0"/>
        <w:autoSpaceDE w:val="0"/>
        <w:adjustRightInd w:val="0"/>
        <w:ind w:right="-1050" w:firstLine="567"/>
        <w:jc w:val="both"/>
        <w:rPr>
          <w:color w:val="auto"/>
        </w:rPr>
      </w:pPr>
      <w:r>
        <w:rPr>
          <w:color w:val="auto"/>
        </w:rPr>
        <w:lastRenderedPageBreak/>
        <w:t xml:space="preserve">8.2. Izpildītāja pilnvarotais pārstāvis ir </w:t>
      </w:r>
      <w:r w:rsidR="0025551D">
        <w:rPr>
          <w:color w:val="auto"/>
        </w:rPr>
        <w:t xml:space="preserve">Ivars </w:t>
      </w:r>
      <w:proofErr w:type="spellStart"/>
      <w:r w:rsidR="0025551D">
        <w:rPr>
          <w:color w:val="auto"/>
        </w:rPr>
        <w:t>Nudiens</w:t>
      </w:r>
      <w:proofErr w:type="spellEnd"/>
      <w:r>
        <w:rPr>
          <w:color w:val="auto"/>
        </w:rPr>
        <w:t>.</w:t>
      </w:r>
    </w:p>
    <w:p w:rsidR="000F4966" w:rsidRDefault="000F4966" w:rsidP="0036355D">
      <w:pPr>
        <w:tabs>
          <w:tab w:val="left" w:pos="794"/>
          <w:tab w:val="left" w:pos="900"/>
          <w:tab w:val="left" w:pos="8100"/>
          <w:tab w:val="right" w:pos="8505"/>
        </w:tabs>
        <w:overflowPunct w:val="0"/>
        <w:autoSpaceDE w:val="0"/>
        <w:adjustRightInd w:val="0"/>
        <w:ind w:right="-1050" w:firstLine="567"/>
        <w:jc w:val="both"/>
        <w:rPr>
          <w:color w:val="auto"/>
        </w:rPr>
      </w:pPr>
      <w:r>
        <w:rPr>
          <w:color w:val="auto"/>
        </w:rPr>
        <w:t>8.3. Ja kāds no Līguma noteikumiem zaudē spēku, tas neietekmē citu Līguma noteikumu spēkā esamību.</w:t>
      </w:r>
    </w:p>
    <w:p w:rsidR="000F4966" w:rsidRDefault="000F4966" w:rsidP="0036355D">
      <w:pPr>
        <w:tabs>
          <w:tab w:val="left" w:pos="794"/>
          <w:tab w:val="left" w:pos="900"/>
          <w:tab w:val="left" w:pos="8100"/>
          <w:tab w:val="right" w:pos="8505"/>
        </w:tabs>
        <w:overflowPunct w:val="0"/>
        <w:autoSpaceDE w:val="0"/>
        <w:adjustRightInd w:val="0"/>
        <w:ind w:right="-1050" w:firstLine="567"/>
        <w:jc w:val="both"/>
        <w:rPr>
          <w:color w:val="auto"/>
        </w:rPr>
      </w:pPr>
      <w:r>
        <w:rPr>
          <w:color w:val="auto"/>
        </w:rPr>
        <w:t xml:space="preserve">8.4. Izpildītājam ir tiesības Pakalpojuma sniegšanā iesaistīt apakšuzņēmējus, atbilstoši iesniegtajam piedāvājumam Iepirkumā (Līguma pielikums Nr.2). Jaunu apakšuzņēmēju iesaistīšana ir pieļaujama tika ar Pasūtītāja rakstveida piekrišanu. </w:t>
      </w:r>
    </w:p>
    <w:p w:rsidR="000F4966" w:rsidRDefault="000F4966" w:rsidP="0036355D">
      <w:pPr>
        <w:tabs>
          <w:tab w:val="left" w:pos="8100"/>
          <w:tab w:val="right" w:pos="8505"/>
        </w:tabs>
        <w:overflowPunct w:val="0"/>
        <w:autoSpaceDE w:val="0"/>
        <w:adjustRightInd w:val="0"/>
        <w:ind w:right="-1050" w:firstLine="567"/>
        <w:jc w:val="both"/>
        <w:rPr>
          <w:color w:val="auto"/>
        </w:rPr>
      </w:pPr>
      <w:r>
        <w:rPr>
          <w:color w:val="auto"/>
        </w:rPr>
        <w:t>8.5. Pakalpojuma sniegšanā iesaistītos apakšuzņēmējus, kuru sniegtā Pakalpojuma vērtība ir 10% (desmit procenti) no kopējās līgumcenas vai lielāka, Izpildītājs pēc Līguma noslēgšanas drīkst nomainīt tikai ar Pasūtītāja rakstveida piekrišanu.</w:t>
      </w:r>
    </w:p>
    <w:p w:rsidR="000F4966" w:rsidRDefault="000F4966" w:rsidP="0036355D">
      <w:pPr>
        <w:tabs>
          <w:tab w:val="left" w:pos="794"/>
          <w:tab w:val="left" w:pos="900"/>
          <w:tab w:val="left" w:pos="8100"/>
          <w:tab w:val="right" w:pos="8505"/>
        </w:tabs>
        <w:overflowPunct w:val="0"/>
        <w:autoSpaceDE w:val="0"/>
        <w:adjustRightInd w:val="0"/>
        <w:ind w:right="-1050" w:firstLine="567"/>
        <w:jc w:val="both"/>
        <w:rPr>
          <w:color w:val="auto"/>
        </w:rPr>
      </w:pPr>
      <w:r>
        <w:rPr>
          <w:color w:val="auto"/>
        </w:rPr>
        <w:t>8.6. Gadījumā, ja kāda no Pusēm pēc Līguma noslēgšanas tiek reorganizēta, Līgums paliek spēkā un tā noteikumi ir saistoši Pušu tiesību un saistību pārņēmējiem.</w:t>
      </w:r>
    </w:p>
    <w:p w:rsidR="000F4966" w:rsidRDefault="000F4966" w:rsidP="0036355D">
      <w:pPr>
        <w:tabs>
          <w:tab w:val="left" w:pos="794"/>
          <w:tab w:val="left" w:pos="900"/>
          <w:tab w:val="left" w:pos="8100"/>
          <w:tab w:val="right" w:pos="8505"/>
        </w:tabs>
        <w:overflowPunct w:val="0"/>
        <w:autoSpaceDE w:val="0"/>
        <w:adjustRightInd w:val="0"/>
        <w:spacing w:after="120"/>
        <w:ind w:right="-1050" w:firstLine="567"/>
        <w:jc w:val="both"/>
        <w:rPr>
          <w:color w:val="auto"/>
        </w:rPr>
      </w:pPr>
      <w:r>
        <w:rPr>
          <w:color w:val="auto"/>
        </w:rPr>
        <w:t xml:space="preserve">8.7. Līgums sastādīts latviešu valodā uz </w:t>
      </w:r>
      <w:r w:rsidR="00123CC3">
        <w:rPr>
          <w:color w:val="auto"/>
        </w:rPr>
        <w:t>3</w:t>
      </w:r>
      <w:r>
        <w:rPr>
          <w:color w:val="auto"/>
        </w:rPr>
        <w:t xml:space="preserve"> (</w:t>
      </w:r>
      <w:r w:rsidR="00123CC3">
        <w:rPr>
          <w:color w:val="auto"/>
        </w:rPr>
        <w:t>trim</w:t>
      </w:r>
      <w:r>
        <w:rPr>
          <w:color w:val="auto"/>
        </w:rPr>
        <w:t>) lapām, neskaitot pielikumus, 2 (divos) eksemplāros. Abiem Līguma eksemplāriem ir vienāds juridisks spēks, un katrai Pusei tiek nodots viens Līguma eksemplārs.</w:t>
      </w:r>
    </w:p>
    <w:p w:rsidR="000F4966" w:rsidRDefault="000F4966" w:rsidP="00123CC3">
      <w:pPr>
        <w:pStyle w:val="ListParagraph"/>
        <w:widowControl/>
        <w:tabs>
          <w:tab w:val="right" w:pos="8505"/>
        </w:tabs>
        <w:overflowPunct w:val="0"/>
        <w:autoSpaceDE w:val="0"/>
        <w:autoSpaceDN w:val="0"/>
        <w:adjustRightInd w:val="0"/>
        <w:spacing w:after="120"/>
        <w:ind w:left="540" w:right="-1050"/>
        <w:jc w:val="center"/>
        <w:textAlignment w:val="baseline"/>
        <w:rPr>
          <w:color w:val="auto"/>
        </w:rPr>
      </w:pPr>
      <w:r>
        <w:rPr>
          <w:color w:val="auto"/>
        </w:rPr>
        <w:t>9. PUŠU REKVIZĪTI UN PARAKSTI</w:t>
      </w:r>
    </w:p>
    <w:tbl>
      <w:tblPr>
        <w:tblW w:w="9639" w:type="dxa"/>
        <w:tblInd w:w="108" w:type="dxa"/>
        <w:tblLook w:val="04A0" w:firstRow="1" w:lastRow="0" w:firstColumn="1" w:lastColumn="0" w:noHBand="0" w:noVBand="1"/>
      </w:tblPr>
      <w:tblGrid>
        <w:gridCol w:w="4820"/>
        <w:gridCol w:w="4819"/>
      </w:tblGrid>
      <w:tr w:rsidR="000F4966" w:rsidTr="000F4966">
        <w:tc>
          <w:tcPr>
            <w:tcW w:w="4820" w:type="dxa"/>
            <w:hideMark/>
          </w:tcPr>
          <w:p w:rsidR="000F4966" w:rsidRDefault="000F4966">
            <w:pPr>
              <w:pStyle w:val="ListParagraph"/>
              <w:widowControl/>
              <w:tabs>
                <w:tab w:val="right" w:pos="8505"/>
              </w:tabs>
              <w:overflowPunct w:val="0"/>
              <w:autoSpaceDE w:val="0"/>
              <w:autoSpaceDN w:val="0"/>
              <w:adjustRightInd w:val="0"/>
              <w:spacing w:after="120"/>
              <w:ind w:left="0"/>
              <w:jc w:val="both"/>
              <w:textAlignment w:val="baseline"/>
              <w:rPr>
                <w:color w:val="auto"/>
              </w:rPr>
            </w:pPr>
            <w:r>
              <w:rPr>
                <w:color w:val="auto"/>
              </w:rPr>
              <w:t>PASŪTĪTĀJS</w:t>
            </w:r>
          </w:p>
        </w:tc>
        <w:tc>
          <w:tcPr>
            <w:tcW w:w="4819" w:type="dxa"/>
            <w:hideMark/>
          </w:tcPr>
          <w:p w:rsidR="000F4966" w:rsidRDefault="000F4966">
            <w:pPr>
              <w:pStyle w:val="ListParagraph"/>
              <w:widowControl/>
              <w:tabs>
                <w:tab w:val="right" w:pos="8505"/>
              </w:tabs>
              <w:overflowPunct w:val="0"/>
              <w:autoSpaceDE w:val="0"/>
              <w:autoSpaceDN w:val="0"/>
              <w:adjustRightInd w:val="0"/>
              <w:spacing w:after="120"/>
              <w:ind w:left="0"/>
              <w:jc w:val="both"/>
              <w:textAlignment w:val="baseline"/>
              <w:rPr>
                <w:color w:val="auto"/>
              </w:rPr>
            </w:pPr>
            <w:r>
              <w:rPr>
                <w:color w:val="auto"/>
              </w:rPr>
              <w:t>IZPILDĪTĀJS</w:t>
            </w:r>
          </w:p>
        </w:tc>
      </w:tr>
      <w:tr w:rsidR="000F4966" w:rsidTr="00123CC3">
        <w:tc>
          <w:tcPr>
            <w:tcW w:w="4820" w:type="dxa"/>
            <w:hideMark/>
          </w:tcPr>
          <w:p w:rsidR="000F4966" w:rsidRDefault="000F4966">
            <w:pPr>
              <w:spacing w:after="120"/>
              <w:ind w:right="-334"/>
              <w:rPr>
                <w:b/>
                <w:color w:val="auto"/>
              </w:rPr>
            </w:pPr>
            <w:r>
              <w:rPr>
                <w:b/>
                <w:color w:val="auto"/>
              </w:rPr>
              <w:t xml:space="preserve">Rēzeknes novada pašvaldība </w:t>
            </w:r>
          </w:p>
        </w:tc>
        <w:tc>
          <w:tcPr>
            <w:tcW w:w="4819" w:type="dxa"/>
          </w:tcPr>
          <w:p w:rsidR="000F4966" w:rsidRPr="00123CC3" w:rsidRDefault="00123CC3">
            <w:pPr>
              <w:pStyle w:val="ListParagraph"/>
              <w:widowControl/>
              <w:tabs>
                <w:tab w:val="right" w:pos="8505"/>
              </w:tabs>
              <w:overflowPunct w:val="0"/>
              <w:autoSpaceDE w:val="0"/>
              <w:autoSpaceDN w:val="0"/>
              <w:adjustRightInd w:val="0"/>
              <w:spacing w:after="120"/>
              <w:ind w:left="0"/>
              <w:jc w:val="both"/>
              <w:textAlignment w:val="baseline"/>
              <w:rPr>
                <w:b/>
                <w:color w:val="auto"/>
              </w:rPr>
            </w:pPr>
            <w:r w:rsidRPr="00123CC3">
              <w:rPr>
                <w:b/>
                <w:color w:val="auto"/>
              </w:rPr>
              <w:t>SIA “Ģeodēzists”</w:t>
            </w:r>
          </w:p>
        </w:tc>
      </w:tr>
      <w:tr w:rsidR="000F4966" w:rsidTr="000F4966">
        <w:tc>
          <w:tcPr>
            <w:tcW w:w="4820" w:type="dxa"/>
            <w:hideMark/>
          </w:tcPr>
          <w:p w:rsidR="000F4966" w:rsidRDefault="000F4966">
            <w:pPr>
              <w:spacing w:after="120"/>
              <w:ind w:right="-334"/>
              <w:rPr>
                <w:color w:val="auto"/>
              </w:rPr>
            </w:pPr>
            <w:r>
              <w:rPr>
                <w:color w:val="auto"/>
              </w:rPr>
              <w:t>reģ.Nr.9</w:t>
            </w:r>
            <w:r>
              <w:rPr>
                <w:rFonts w:eastAsia="Calibri"/>
                <w:color w:val="auto"/>
              </w:rPr>
              <w:t>0009112679</w:t>
            </w:r>
          </w:p>
        </w:tc>
        <w:tc>
          <w:tcPr>
            <w:tcW w:w="4819" w:type="dxa"/>
            <w:hideMark/>
          </w:tcPr>
          <w:p w:rsidR="000F4966" w:rsidRDefault="000F4966">
            <w:pPr>
              <w:spacing w:after="120"/>
              <w:ind w:right="-334"/>
              <w:rPr>
                <w:color w:val="auto"/>
              </w:rPr>
            </w:pPr>
            <w:r>
              <w:rPr>
                <w:color w:val="auto"/>
              </w:rPr>
              <w:t>reģ.Nr.</w:t>
            </w:r>
            <w:r w:rsidR="00F84AB4">
              <w:rPr>
                <w:color w:val="auto"/>
              </w:rPr>
              <w:t>41203006878</w:t>
            </w:r>
          </w:p>
        </w:tc>
      </w:tr>
      <w:tr w:rsidR="000F4966" w:rsidTr="00D70B9E">
        <w:tc>
          <w:tcPr>
            <w:tcW w:w="4820" w:type="dxa"/>
          </w:tcPr>
          <w:p w:rsidR="000F4966" w:rsidRDefault="000F4966">
            <w:pPr>
              <w:pStyle w:val="ListParagraph"/>
              <w:widowControl/>
              <w:tabs>
                <w:tab w:val="right" w:pos="8505"/>
              </w:tabs>
              <w:overflowPunct w:val="0"/>
              <w:autoSpaceDE w:val="0"/>
              <w:autoSpaceDN w:val="0"/>
              <w:adjustRightInd w:val="0"/>
              <w:spacing w:after="120"/>
              <w:ind w:left="0"/>
              <w:jc w:val="both"/>
              <w:textAlignment w:val="baseline"/>
              <w:rPr>
                <w:color w:val="auto"/>
              </w:rPr>
            </w:pPr>
          </w:p>
        </w:tc>
        <w:tc>
          <w:tcPr>
            <w:tcW w:w="4819" w:type="dxa"/>
          </w:tcPr>
          <w:p w:rsidR="000F4966" w:rsidRDefault="000F4966">
            <w:pPr>
              <w:pStyle w:val="ListParagraph"/>
              <w:widowControl/>
              <w:tabs>
                <w:tab w:val="right" w:pos="8505"/>
              </w:tabs>
              <w:overflowPunct w:val="0"/>
              <w:autoSpaceDE w:val="0"/>
              <w:autoSpaceDN w:val="0"/>
              <w:adjustRightInd w:val="0"/>
              <w:spacing w:after="120"/>
              <w:ind w:left="0"/>
              <w:jc w:val="both"/>
              <w:textAlignment w:val="baseline"/>
              <w:rPr>
                <w:color w:val="auto"/>
              </w:rPr>
            </w:pPr>
          </w:p>
        </w:tc>
      </w:tr>
      <w:tr w:rsidR="000F4966" w:rsidTr="00D70B9E">
        <w:tc>
          <w:tcPr>
            <w:tcW w:w="4820" w:type="dxa"/>
          </w:tcPr>
          <w:p w:rsidR="000F4966" w:rsidRDefault="000F4966">
            <w:pPr>
              <w:spacing w:after="120"/>
              <w:ind w:right="-334"/>
              <w:rPr>
                <w:color w:val="auto"/>
              </w:rPr>
            </w:pPr>
          </w:p>
        </w:tc>
        <w:tc>
          <w:tcPr>
            <w:tcW w:w="4819" w:type="dxa"/>
          </w:tcPr>
          <w:p w:rsidR="000F4966" w:rsidRDefault="000F4966" w:rsidP="00123CC3">
            <w:pPr>
              <w:spacing w:after="120"/>
              <w:rPr>
                <w:color w:val="auto"/>
              </w:rPr>
            </w:pPr>
          </w:p>
        </w:tc>
      </w:tr>
      <w:tr w:rsidR="000F4966" w:rsidTr="00D70B9E">
        <w:tc>
          <w:tcPr>
            <w:tcW w:w="4820" w:type="dxa"/>
          </w:tcPr>
          <w:p w:rsidR="000F4966" w:rsidRDefault="000F4966">
            <w:pPr>
              <w:spacing w:after="120"/>
              <w:rPr>
                <w:color w:val="auto"/>
              </w:rPr>
            </w:pPr>
          </w:p>
        </w:tc>
        <w:tc>
          <w:tcPr>
            <w:tcW w:w="4819" w:type="dxa"/>
          </w:tcPr>
          <w:p w:rsidR="000F4966" w:rsidRDefault="000F4966">
            <w:pPr>
              <w:spacing w:after="120"/>
              <w:rPr>
                <w:color w:val="auto"/>
              </w:rPr>
            </w:pPr>
          </w:p>
        </w:tc>
      </w:tr>
      <w:tr w:rsidR="000F4966" w:rsidTr="00D70B9E">
        <w:tc>
          <w:tcPr>
            <w:tcW w:w="4820" w:type="dxa"/>
          </w:tcPr>
          <w:p w:rsidR="000F4966" w:rsidRDefault="000F4966">
            <w:pPr>
              <w:spacing w:after="120"/>
              <w:ind w:right="-334"/>
              <w:rPr>
                <w:color w:val="auto"/>
              </w:rPr>
            </w:pPr>
          </w:p>
        </w:tc>
        <w:tc>
          <w:tcPr>
            <w:tcW w:w="4819" w:type="dxa"/>
          </w:tcPr>
          <w:p w:rsidR="000F4966" w:rsidRDefault="000F4966">
            <w:pPr>
              <w:spacing w:after="120"/>
              <w:ind w:right="-334"/>
              <w:rPr>
                <w:color w:val="auto"/>
              </w:rPr>
            </w:pPr>
          </w:p>
        </w:tc>
      </w:tr>
      <w:tr w:rsidR="000F4966" w:rsidTr="00D70B9E">
        <w:tc>
          <w:tcPr>
            <w:tcW w:w="4820" w:type="dxa"/>
          </w:tcPr>
          <w:p w:rsidR="000F4966" w:rsidRDefault="000F4966">
            <w:pPr>
              <w:pStyle w:val="ListParagraph"/>
              <w:widowControl/>
              <w:tabs>
                <w:tab w:val="right" w:pos="8505"/>
              </w:tabs>
              <w:overflowPunct w:val="0"/>
              <w:autoSpaceDE w:val="0"/>
              <w:autoSpaceDN w:val="0"/>
              <w:adjustRightInd w:val="0"/>
              <w:spacing w:after="120"/>
              <w:ind w:left="0"/>
              <w:jc w:val="both"/>
              <w:textAlignment w:val="baseline"/>
              <w:rPr>
                <w:color w:val="auto"/>
              </w:rPr>
            </w:pPr>
          </w:p>
        </w:tc>
        <w:tc>
          <w:tcPr>
            <w:tcW w:w="4819" w:type="dxa"/>
          </w:tcPr>
          <w:p w:rsidR="000F4966" w:rsidRDefault="000F4966">
            <w:pPr>
              <w:pStyle w:val="ListParagraph"/>
              <w:widowControl/>
              <w:tabs>
                <w:tab w:val="right" w:pos="8505"/>
              </w:tabs>
              <w:overflowPunct w:val="0"/>
              <w:autoSpaceDE w:val="0"/>
              <w:autoSpaceDN w:val="0"/>
              <w:adjustRightInd w:val="0"/>
              <w:spacing w:after="120"/>
              <w:ind w:left="0"/>
              <w:jc w:val="both"/>
              <w:textAlignment w:val="baseline"/>
              <w:rPr>
                <w:color w:val="auto"/>
              </w:rPr>
            </w:pPr>
          </w:p>
        </w:tc>
      </w:tr>
      <w:tr w:rsidR="000F4966" w:rsidTr="000F4966">
        <w:tc>
          <w:tcPr>
            <w:tcW w:w="4820" w:type="dxa"/>
          </w:tcPr>
          <w:p w:rsidR="000F4966" w:rsidRDefault="000F4966">
            <w:pPr>
              <w:pStyle w:val="ListParagraph"/>
              <w:widowControl/>
              <w:tabs>
                <w:tab w:val="right" w:pos="8505"/>
              </w:tabs>
              <w:overflowPunct w:val="0"/>
              <w:autoSpaceDE w:val="0"/>
              <w:autoSpaceDN w:val="0"/>
              <w:adjustRightInd w:val="0"/>
              <w:ind w:left="0"/>
              <w:jc w:val="both"/>
              <w:textAlignment w:val="baseline"/>
              <w:rPr>
                <w:color w:val="auto"/>
              </w:rPr>
            </w:pPr>
          </w:p>
        </w:tc>
        <w:tc>
          <w:tcPr>
            <w:tcW w:w="4819" w:type="dxa"/>
          </w:tcPr>
          <w:p w:rsidR="000F4966" w:rsidRDefault="000F4966">
            <w:pPr>
              <w:pStyle w:val="ListParagraph"/>
              <w:widowControl/>
              <w:tabs>
                <w:tab w:val="right" w:pos="8505"/>
              </w:tabs>
              <w:overflowPunct w:val="0"/>
              <w:autoSpaceDE w:val="0"/>
              <w:autoSpaceDN w:val="0"/>
              <w:adjustRightInd w:val="0"/>
              <w:ind w:left="0"/>
              <w:jc w:val="both"/>
              <w:textAlignment w:val="baseline"/>
              <w:rPr>
                <w:color w:val="auto"/>
              </w:rPr>
            </w:pPr>
          </w:p>
        </w:tc>
      </w:tr>
      <w:tr w:rsidR="000F4966" w:rsidTr="00D70B9E">
        <w:tc>
          <w:tcPr>
            <w:tcW w:w="4820" w:type="dxa"/>
          </w:tcPr>
          <w:p w:rsidR="000F4966" w:rsidRDefault="000F4966">
            <w:pPr>
              <w:pStyle w:val="ListParagraph"/>
              <w:widowControl/>
              <w:tabs>
                <w:tab w:val="right" w:pos="8505"/>
              </w:tabs>
              <w:overflowPunct w:val="0"/>
              <w:autoSpaceDE w:val="0"/>
              <w:autoSpaceDN w:val="0"/>
              <w:adjustRightInd w:val="0"/>
              <w:ind w:left="0"/>
              <w:jc w:val="both"/>
              <w:textAlignment w:val="baseline"/>
              <w:rPr>
                <w:color w:val="auto"/>
              </w:rPr>
            </w:pPr>
          </w:p>
        </w:tc>
        <w:tc>
          <w:tcPr>
            <w:tcW w:w="4819" w:type="dxa"/>
          </w:tcPr>
          <w:p w:rsidR="000F4966" w:rsidRDefault="000F4966">
            <w:pPr>
              <w:pStyle w:val="ListParagraph"/>
              <w:widowControl/>
              <w:tabs>
                <w:tab w:val="right" w:pos="8505"/>
              </w:tabs>
              <w:overflowPunct w:val="0"/>
              <w:autoSpaceDE w:val="0"/>
              <w:autoSpaceDN w:val="0"/>
              <w:adjustRightInd w:val="0"/>
              <w:ind w:left="0"/>
              <w:jc w:val="both"/>
              <w:textAlignment w:val="baseline"/>
              <w:rPr>
                <w:color w:val="auto"/>
              </w:rPr>
            </w:pPr>
          </w:p>
        </w:tc>
      </w:tr>
    </w:tbl>
    <w:p w:rsidR="000F4966" w:rsidRDefault="000F4966" w:rsidP="000F4966">
      <w:pPr>
        <w:pStyle w:val="ListParagraph"/>
        <w:widowControl/>
        <w:tabs>
          <w:tab w:val="right" w:pos="8505"/>
        </w:tabs>
        <w:overflowPunct w:val="0"/>
        <w:autoSpaceDE w:val="0"/>
        <w:autoSpaceDN w:val="0"/>
        <w:adjustRightInd w:val="0"/>
        <w:spacing w:after="120"/>
        <w:ind w:left="540"/>
        <w:jc w:val="both"/>
        <w:textAlignment w:val="baseline"/>
        <w:rPr>
          <w:color w:val="auto"/>
        </w:rPr>
      </w:pPr>
    </w:p>
    <w:tbl>
      <w:tblPr>
        <w:tblW w:w="0" w:type="auto"/>
        <w:tblLook w:val="01E0" w:firstRow="1" w:lastRow="1" w:firstColumn="1" w:lastColumn="1" w:noHBand="0" w:noVBand="0"/>
      </w:tblPr>
      <w:tblGrid>
        <w:gridCol w:w="4258"/>
        <w:gridCol w:w="4048"/>
      </w:tblGrid>
      <w:tr w:rsidR="000F4966" w:rsidTr="000F4966">
        <w:tc>
          <w:tcPr>
            <w:tcW w:w="4399" w:type="dxa"/>
          </w:tcPr>
          <w:p w:rsidR="000F4966" w:rsidRDefault="000F4966">
            <w:pPr>
              <w:tabs>
                <w:tab w:val="right" w:pos="8505"/>
              </w:tabs>
              <w:overflowPunct w:val="0"/>
              <w:autoSpaceDE w:val="0"/>
              <w:adjustRightInd w:val="0"/>
              <w:jc w:val="both"/>
              <w:rPr>
                <w:color w:val="auto"/>
              </w:rPr>
            </w:pPr>
          </w:p>
        </w:tc>
        <w:tc>
          <w:tcPr>
            <w:tcW w:w="4181" w:type="dxa"/>
            <w:hideMark/>
          </w:tcPr>
          <w:p w:rsidR="000F4966" w:rsidRDefault="000F4966">
            <w:pPr>
              <w:tabs>
                <w:tab w:val="right" w:pos="8505"/>
              </w:tabs>
              <w:overflowPunct w:val="0"/>
              <w:autoSpaceDE w:val="0"/>
              <w:adjustRightInd w:val="0"/>
              <w:jc w:val="both"/>
              <w:rPr>
                <w:color w:val="auto"/>
              </w:rPr>
            </w:pPr>
            <w:r>
              <w:rPr>
                <w:color w:val="auto"/>
              </w:rPr>
              <w:t xml:space="preserve">             </w:t>
            </w:r>
          </w:p>
        </w:tc>
      </w:tr>
      <w:tr w:rsidR="000F4966" w:rsidTr="000F4966">
        <w:tc>
          <w:tcPr>
            <w:tcW w:w="4399" w:type="dxa"/>
          </w:tcPr>
          <w:p w:rsidR="000F4966" w:rsidRDefault="000F4966">
            <w:pPr>
              <w:tabs>
                <w:tab w:val="right" w:pos="8505"/>
              </w:tabs>
              <w:overflowPunct w:val="0"/>
              <w:autoSpaceDE w:val="0"/>
              <w:adjustRightInd w:val="0"/>
              <w:jc w:val="both"/>
              <w:rPr>
                <w:color w:val="auto"/>
              </w:rPr>
            </w:pPr>
          </w:p>
        </w:tc>
        <w:tc>
          <w:tcPr>
            <w:tcW w:w="4181" w:type="dxa"/>
          </w:tcPr>
          <w:p w:rsidR="000F4966" w:rsidRDefault="000F4966">
            <w:pPr>
              <w:tabs>
                <w:tab w:val="right" w:pos="8505"/>
              </w:tabs>
              <w:overflowPunct w:val="0"/>
              <w:autoSpaceDE w:val="0"/>
              <w:adjustRightInd w:val="0"/>
              <w:jc w:val="both"/>
              <w:rPr>
                <w:color w:val="auto"/>
              </w:rPr>
            </w:pPr>
          </w:p>
        </w:tc>
      </w:tr>
      <w:tr w:rsidR="000F4966" w:rsidTr="000F4966">
        <w:tc>
          <w:tcPr>
            <w:tcW w:w="4399" w:type="dxa"/>
          </w:tcPr>
          <w:p w:rsidR="000F4966" w:rsidRDefault="000F4966">
            <w:pPr>
              <w:ind w:right="-334"/>
              <w:rPr>
                <w:color w:val="auto"/>
              </w:rPr>
            </w:pPr>
          </w:p>
          <w:p w:rsidR="000F4966" w:rsidRDefault="000F4966">
            <w:pPr>
              <w:tabs>
                <w:tab w:val="right" w:pos="8505"/>
              </w:tabs>
              <w:overflowPunct w:val="0"/>
              <w:autoSpaceDE w:val="0"/>
              <w:adjustRightInd w:val="0"/>
              <w:jc w:val="both"/>
              <w:rPr>
                <w:color w:val="auto"/>
              </w:rPr>
            </w:pPr>
          </w:p>
        </w:tc>
        <w:tc>
          <w:tcPr>
            <w:tcW w:w="4181" w:type="dxa"/>
          </w:tcPr>
          <w:p w:rsidR="000F4966" w:rsidRDefault="000F4966">
            <w:pPr>
              <w:tabs>
                <w:tab w:val="right" w:pos="8505"/>
              </w:tabs>
              <w:overflowPunct w:val="0"/>
              <w:autoSpaceDE w:val="0"/>
              <w:adjustRightInd w:val="0"/>
              <w:jc w:val="both"/>
              <w:rPr>
                <w:color w:val="auto"/>
              </w:rPr>
            </w:pPr>
          </w:p>
        </w:tc>
      </w:tr>
      <w:tr w:rsidR="000F4966" w:rsidTr="000F4966">
        <w:tc>
          <w:tcPr>
            <w:tcW w:w="4399" w:type="dxa"/>
          </w:tcPr>
          <w:p w:rsidR="000F4966" w:rsidRDefault="000F4966">
            <w:pPr>
              <w:tabs>
                <w:tab w:val="right" w:pos="8505"/>
              </w:tabs>
              <w:overflowPunct w:val="0"/>
              <w:autoSpaceDE w:val="0"/>
              <w:adjustRightInd w:val="0"/>
              <w:jc w:val="both"/>
              <w:rPr>
                <w:color w:val="0070C0"/>
              </w:rPr>
            </w:pPr>
          </w:p>
        </w:tc>
        <w:tc>
          <w:tcPr>
            <w:tcW w:w="4181" w:type="dxa"/>
          </w:tcPr>
          <w:p w:rsidR="000F4966" w:rsidRDefault="000F4966">
            <w:pPr>
              <w:tabs>
                <w:tab w:val="right" w:pos="8505"/>
              </w:tabs>
              <w:overflowPunct w:val="0"/>
              <w:autoSpaceDE w:val="0"/>
              <w:adjustRightInd w:val="0"/>
              <w:jc w:val="both"/>
              <w:rPr>
                <w:color w:val="0070C0"/>
              </w:rPr>
            </w:pPr>
          </w:p>
        </w:tc>
      </w:tr>
    </w:tbl>
    <w:p w:rsidR="000F4966" w:rsidRDefault="000F4966" w:rsidP="000F4966">
      <w:pPr>
        <w:pStyle w:val="BodyText"/>
        <w:widowControl/>
        <w:tabs>
          <w:tab w:val="left" w:pos="900"/>
          <w:tab w:val="left" w:pos="1080"/>
          <w:tab w:val="left" w:pos="3119"/>
        </w:tabs>
        <w:spacing w:after="0"/>
        <w:jc w:val="right"/>
        <w:rPr>
          <w:b/>
          <w:i/>
          <w:color w:val="auto"/>
          <w:sz w:val="24"/>
          <w:szCs w:val="24"/>
          <w:u w:val="single"/>
        </w:rPr>
      </w:pPr>
    </w:p>
    <w:p w:rsidR="000F4966" w:rsidRDefault="000F4966" w:rsidP="000F4966">
      <w:pPr>
        <w:pStyle w:val="BodyText"/>
        <w:widowControl/>
        <w:tabs>
          <w:tab w:val="left" w:pos="900"/>
          <w:tab w:val="left" w:pos="1080"/>
          <w:tab w:val="left" w:pos="3119"/>
        </w:tabs>
        <w:spacing w:after="0"/>
        <w:jc w:val="right"/>
        <w:rPr>
          <w:b/>
          <w:i/>
          <w:color w:val="auto"/>
          <w:sz w:val="24"/>
          <w:szCs w:val="24"/>
          <w:u w:val="single"/>
        </w:rPr>
      </w:pPr>
    </w:p>
    <w:p w:rsidR="004F26A1" w:rsidRDefault="004F26A1" w:rsidP="000F4966">
      <w:pPr>
        <w:pStyle w:val="BodyText"/>
        <w:widowControl/>
        <w:tabs>
          <w:tab w:val="left" w:pos="900"/>
          <w:tab w:val="left" w:pos="1080"/>
          <w:tab w:val="left" w:pos="3119"/>
        </w:tabs>
        <w:spacing w:after="0"/>
        <w:jc w:val="right"/>
        <w:rPr>
          <w:b/>
          <w:i/>
          <w:color w:val="auto"/>
          <w:sz w:val="24"/>
          <w:szCs w:val="24"/>
          <w:u w:val="single"/>
        </w:rPr>
      </w:pPr>
    </w:p>
    <w:p w:rsidR="004F26A1" w:rsidRDefault="004F26A1" w:rsidP="000F4966">
      <w:pPr>
        <w:pStyle w:val="BodyText"/>
        <w:widowControl/>
        <w:tabs>
          <w:tab w:val="left" w:pos="900"/>
          <w:tab w:val="left" w:pos="1080"/>
          <w:tab w:val="left" w:pos="3119"/>
        </w:tabs>
        <w:spacing w:after="0"/>
        <w:jc w:val="right"/>
        <w:rPr>
          <w:b/>
          <w:i/>
          <w:color w:val="auto"/>
          <w:sz w:val="24"/>
          <w:szCs w:val="24"/>
          <w:u w:val="single"/>
        </w:rPr>
      </w:pPr>
    </w:p>
    <w:p w:rsidR="004F26A1" w:rsidRDefault="004F26A1" w:rsidP="000F4966">
      <w:pPr>
        <w:pStyle w:val="BodyText"/>
        <w:widowControl/>
        <w:tabs>
          <w:tab w:val="left" w:pos="900"/>
          <w:tab w:val="left" w:pos="1080"/>
          <w:tab w:val="left" w:pos="3119"/>
        </w:tabs>
        <w:spacing w:after="0"/>
        <w:jc w:val="right"/>
        <w:rPr>
          <w:b/>
          <w:i/>
          <w:color w:val="auto"/>
          <w:sz w:val="24"/>
          <w:szCs w:val="24"/>
          <w:u w:val="single"/>
        </w:rPr>
      </w:pPr>
    </w:p>
    <w:p w:rsidR="004F26A1" w:rsidRDefault="004F26A1" w:rsidP="000F4966">
      <w:pPr>
        <w:pStyle w:val="BodyText"/>
        <w:widowControl/>
        <w:tabs>
          <w:tab w:val="left" w:pos="900"/>
          <w:tab w:val="left" w:pos="1080"/>
          <w:tab w:val="left" w:pos="3119"/>
        </w:tabs>
        <w:spacing w:after="0"/>
        <w:jc w:val="right"/>
        <w:rPr>
          <w:b/>
          <w:i/>
          <w:color w:val="auto"/>
          <w:sz w:val="24"/>
          <w:szCs w:val="24"/>
          <w:u w:val="single"/>
        </w:rPr>
      </w:pPr>
    </w:p>
    <w:p w:rsidR="004F26A1" w:rsidRDefault="004F26A1" w:rsidP="000F4966">
      <w:pPr>
        <w:pStyle w:val="BodyText"/>
        <w:widowControl/>
        <w:tabs>
          <w:tab w:val="left" w:pos="900"/>
          <w:tab w:val="left" w:pos="1080"/>
          <w:tab w:val="left" w:pos="3119"/>
        </w:tabs>
        <w:spacing w:after="0"/>
        <w:jc w:val="right"/>
        <w:rPr>
          <w:b/>
          <w:i/>
          <w:color w:val="auto"/>
          <w:sz w:val="24"/>
          <w:szCs w:val="24"/>
          <w:u w:val="single"/>
        </w:rPr>
      </w:pPr>
      <w:bookmarkStart w:id="0" w:name="_GoBack"/>
      <w:bookmarkEnd w:id="0"/>
    </w:p>
    <w:sectPr w:rsidR="004F26A1">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A7C" w:rsidRDefault="00C26A7C" w:rsidP="00612E6D">
      <w:r>
        <w:separator/>
      </w:r>
    </w:p>
  </w:endnote>
  <w:endnote w:type="continuationSeparator" w:id="0">
    <w:p w:rsidR="00C26A7C" w:rsidRDefault="00C26A7C" w:rsidP="00612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1900629"/>
      <w:docPartObj>
        <w:docPartGallery w:val="Page Numbers (Bottom of Page)"/>
        <w:docPartUnique/>
      </w:docPartObj>
    </w:sdtPr>
    <w:sdtEndPr>
      <w:rPr>
        <w:noProof/>
      </w:rPr>
    </w:sdtEndPr>
    <w:sdtContent>
      <w:p w:rsidR="00612E6D" w:rsidRDefault="00612E6D" w:rsidP="00612E6D">
        <w:pPr>
          <w:pStyle w:val="Footer"/>
          <w:tabs>
            <w:tab w:val="clear" w:pos="8306"/>
          </w:tabs>
          <w:ind w:right="-1050"/>
          <w:jc w:val="center"/>
        </w:pPr>
        <w:r>
          <w:fldChar w:fldCharType="begin"/>
        </w:r>
        <w:r>
          <w:instrText xml:space="preserve"> PAGE   \* MERGEFORMAT </w:instrText>
        </w:r>
        <w:r>
          <w:fldChar w:fldCharType="separate"/>
        </w:r>
        <w:r w:rsidR="00A751D2">
          <w:rPr>
            <w:noProof/>
          </w:rPr>
          <w:t>2</w:t>
        </w:r>
        <w:r>
          <w:rPr>
            <w:noProof/>
          </w:rPr>
          <w:fldChar w:fldCharType="end"/>
        </w:r>
      </w:p>
    </w:sdtContent>
  </w:sdt>
  <w:p w:rsidR="00612E6D" w:rsidRDefault="00612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A7C" w:rsidRDefault="00C26A7C" w:rsidP="00612E6D">
      <w:r>
        <w:separator/>
      </w:r>
    </w:p>
  </w:footnote>
  <w:footnote w:type="continuationSeparator" w:id="0">
    <w:p w:rsidR="00C26A7C" w:rsidRDefault="00C26A7C" w:rsidP="00612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700F0"/>
    <w:multiLevelType w:val="multilevel"/>
    <w:tmpl w:val="D8469E50"/>
    <w:lvl w:ilvl="0">
      <w:start w:val="1"/>
      <w:numFmt w:val="decimal"/>
      <w:lvlText w:val="%1."/>
      <w:lvlJc w:val="left"/>
      <w:pPr>
        <w:ind w:left="720" w:hanging="360"/>
      </w:pPr>
      <w:rPr>
        <w:rFonts w:ascii="Times New Roman" w:hAnsi="Times New Roman" w:cs="Times New Roman" w:hint="default"/>
        <w:b/>
        <w:color w:val="000000"/>
      </w:rPr>
    </w:lvl>
    <w:lvl w:ilvl="1">
      <w:start w:val="1"/>
      <w:numFmt w:val="decimal"/>
      <w:isLgl/>
      <w:lvlText w:val="%1.%2."/>
      <w:lvlJc w:val="left"/>
      <w:pPr>
        <w:ind w:left="360" w:hanging="360"/>
      </w:pPr>
      <w:rPr>
        <w:rFonts w:ascii="Times New Roman" w:hAnsi="Times New Roman" w:cs="Times New Roman" w:hint="default"/>
        <w:color w:val="000000"/>
      </w:rPr>
    </w:lvl>
    <w:lvl w:ilvl="2">
      <w:start w:val="1"/>
      <w:numFmt w:val="decimal"/>
      <w:isLgl/>
      <w:lvlText w:val="%1.%2.%3."/>
      <w:lvlJc w:val="left"/>
      <w:pPr>
        <w:ind w:left="720" w:hanging="720"/>
      </w:pPr>
      <w:rPr>
        <w:rFonts w:ascii="Times New Roman" w:hAnsi="Times New Roman" w:cs="Times New Roman" w:hint="default"/>
        <w:color w:val="000000"/>
      </w:rPr>
    </w:lvl>
    <w:lvl w:ilvl="3">
      <w:start w:val="1"/>
      <w:numFmt w:val="decimal"/>
      <w:isLgl/>
      <w:lvlText w:val="%1.%2.%3.%4."/>
      <w:lvlJc w:val="left"/>
      <w:pPr>
        <w:ind w:left="2160" w:hanging="720"/>
      </w:pPr>
      <w:rPr>
        <w:rFonts w:ascii="Times New Roman" w:hAnsi="Times New Roman" w:cs="Times New Roman" w:hint="default"/>
        <w:color w:val="000000"/>
      </w:rPr>
    </w:lvl>
    <w:lvl w:ilvl="4">
      <w:start w:val="1"/>
      <w:numFmt w:val="decimal"/>
      <w:isLgl/>
      <w:lvlText w:val="%1.%2.%3.%4.%5."/>
      <w:lvlJc w:val="left"/>
      <w:pPr>
        <w:ind w:left="2880" w:hanging="1080"/>
      </w:pPr>
      <w:rPr>
        <w:rFonts w:ascii="Times New Roman" w:hAnsi="Times New Roman" w:cs="Times New Roman" w:hint="default"/>
        <w:color w:val="000000"/>
      </w:rPr>
    </w:lvl>
    <w:lvl w:ilvl="5">
      <w:start w:val="1"/>
      <w:numFmt w:val="decimal"/>
      <w:isLgl/>
      <w:lvlText w:val="%1.%2.%3.%4.%5.%6."/>
      <w:lvlJc w:val="left"/>
      <w:pPr>
        <w:ind w:left="3240" w:hanging="1080"/>
      </w:pPr>
      <w:rPr>
        <w:rFonts w:ascii="Times New Roman" w:hAnsi="Times New Roman" w:cs="Times New Roman" w:hint="default"/>
        <w:color w:val="000000"/>
      </w:rPr>
    </w:lvl>
    <w:lvl w:ilvl="6">
      <w:start w:val="1"/>
      <w:numFmt w:val="decimal"/>
      <w:isLgl/>
      <w:lvlText w:val="%1.%2.%3.%4.%5.%6.%7."/>
      <w:lvlJc w:val="left"/>
      <w:pPr>
        <w:ind w:left="3960" w:hanging="1440"/>
      </w:pPr>
      <w:rPr>
        <w:rFonts w:ascii="Times New Roman" w:hAnsi="Times New Roman" w:cs="Times New Roman" w:hint="default"/>
        <w:color w:val="000000"/>
      </w:rPr>
    </w:lvl>
    <w:lvl w:ilvl="7">
      <w:start w:val="1"/>
      <w:numFmt w:val="decimal"/>
      <w:isLgl/>
      <w:lvlText w:val="%1.%2.%3.%4.%5.%6.%7.%8."/>
      <w:lvlJc w:val="left"/>
      <w:pPr>
        <w:ind w:left="4320" w:hanging="1440"/>
      </w:pPr>
      <w:rPr>
        <w:rFonts w:ascii="Times New Roman" w:hAnsi="Times New Roman" w:cs="Times New Roman" w:hint="default"/>
        <w:color w:val="000000"/>
      </w:rPr>
    </w:lvl>
    <w:lvl w:ilvl="8">
      <w:start w:val="1"/>
      <w:numFmt w:val="decimal"/>
      <w:isLgl/>
      <w:lvlText w:val="%1.%2.%3.%4.%5.%6.%7.%8.%9."/>
      <w:lvlJc w:val="left"/>
      <w:pPr>
        <w:ind w:left="5040" w:hanging="1800"/>
      </w:pPr>
      <w:rPr>
        <w:rFonts w:ascii="Times New Roman" w:hAnsi="Times New Roman" w:cs="Times New Roman" w:hint="default"/>
        <w:color w:val="000000"/>
      </w:rPr>
    </w:lvl>
  </w:abstractNum>
  <w:abstractNum w:abstractNumId="1" w15:restartNumberingAfterBreak="0">
    <w:nsid w:val="5E6D4FC1"/>
    <w:multiLevelType w:val="multilevel"/>
    <w:tmpl w:val="E90870B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658E3735"/>
    <w:multiLevelType w:val="multilevel"/>
    <w:tmpl w:val="5F6C358E"/>
    <w:lvl w:ilvl="0">
      <w:start w:val="2"/>
      <w:numFmt w:val="decimal"/>
      <w:lvlText w:val="%1."/>
      <w:lvlJc w:val="left"/>
      <w:pPr>
        <w:ind w:left="540" w:hanging="540"/>
      </w:pPr>
    </w:lvl>
    <w:lvl w:ilvl="1">
      <w:start w:val="1"/>
      <w:numFmt w:val="decimal"/>
      <w:lvlText w:val="%1.%2."/>
      <w:lvlJc w:val="left"/>
      <w:pPr>
        <w:ind w:left="1080" w:hanging="54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 w15:restartNumberingAfterBreak="0">
    <w:nsid w:val="66EA5B0E"/>
    <w:multiLevelType w:val="multilevel"/>
    <w:tmpl w:val="F392DE60"/>
    <w:lvl w:ilvl="0">
      <w:start w:val="5"/>
      <w:numFmt w:val="decimal"/>
      <w:lvlText w:val="%1."/>
      <w:lvlJc w:val="left"/>
      <w:pPr>
        <w:ind w:left="540" w:hanging="540"/>
      </w:pPr>
    </w:lvl>
    <w:lvl w:ilvl="1">
      <w:start w:val="4"/>
      <w:numFmt w:val="decimal"/>
      <w:lvlText w:val="%1.%2."/>
      <w:lvlJc w:val="left"/>
      <w:pPr>
        <w:ind w:left="540" w:hanging="540"/>
      </w:pPr>
    </w:lvl>
    <w:lvl w:ilvl="2">
      <w:start w:val="2"/>
      <w:numFmt w:val="decimal"/>
      <w:lvlText w:val="%1.%2.%3."/>
      <w:lvlJc w:val="left"/>
      <w:pPr>
        <w:ind w:left="720" w:hanging="720"/>
      </w:pPr>
    </w:lvl>
    <w:lvl w:ilvl="3">
      <w:start w:val="1"/>
      <w:numFmt w:val="upp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5"/>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966"/>
    <w:rsid w:val="000F4966"/>
    <w:rsid w:val="00123CC3"/>
    <w:rsid w:val="0025551D"/>
    <w:rsid w:val="002B3A7C"/>
    <w:rsid w:val="0036355D"/>
    <w:rsid w:val="00364A56"/>
    <w:rsid w:val="004F26A1"/>
    <w:rsid w:val="00612E6D"/>
    <w:rsid w:val="00634660"/>
    <w:rsid w:val="00680171"/>
    <w:rsid w:val="008A6F37"/>
    <w:rsid w:val="00A751D2"/>
    <w:rsid w:val="00A7757B"/>
    <w:rsid w:val="00BA6FC4"/>
    <w:rsid w:val="00C26A7C"/>
    <w:rsid w:val="00C8427C"/>
    <w:rsid w:val="00D70B9E"/>
    <w:rsid w:val="00DA23A3"/>
    <w:rsid w:val="00E5226D"/>
    <w:rsid w:val="00F84AB4"/>
    <w:rsid w:val="00F864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9C17"/>
  <w15:docId w15:val="{7CDE41A3-4B15-404F-9E48-6E90AAB60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966"/>
    <w:pPr>
      <w:widowControl w:val="0"/>
      <w:suppressAutoHyphens/>
    </w:pPr>
    <w:rPr>
      <w:color w:val="000000"/>
      <w:sz w:val="24"/>
      <w:szCs w:val="24"/>
      <w:lang w:eastAsia="ar-SA"/>
    </w:rPr>
  </w:style>
  <w:style w:type="paragraph" w:styleId="Heading1">
    <w:name w:val="heading 1"/>
    <w:basedOn w:val="Normal"/>
    <w:next w:val="Normal"/>
    <w:link w:val="Heading1Char"/>
    <w:qFormat/>
    <w:rsid w:val="00364A5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4A56"/>
    <w:rPr>
      <w:rFonts w:ascii="Arial" w:hAnsi="Arial" w:cs="Arial"/>
      <w:b/>
      <w:bCs/>
      <w:kern w:val="32"/>
      <w:sz w:val="32"/>
      <w:szCs w:val="32"/>
      <w:lang w:val="en-GB"/>
    </w:rPr>
  </w:style>
  <w:style w:type="character" w:customStyle="1" w:styleId="BodyTextChar">
    <w:name w:val="Body Text Char"/>
    <w:aliases w:val="Body Text1 Char"/>
    <w:basedOn w:val="DefaultParagraphFont"/>
    <w:link w:val="BodyText"/>
    <w:uiPriority w:val="99"/>
    <w:semiHidden/>
    <w:locked/>
    <w:rsid w:val="000F4966"/>
    <w:rPr>
      <w:color w:val="000000"/>
      <w:sz w:val="27"/>
      <w:szCs w:val="27"/>
    </w:rPr>
  </w:style>
  <w:style w:type="paragraph" w:styleId="BodyText">
    <w:name w:val="Body Text"/>
    <w:aliases w:val="Body Text1"/>
    <w:basedOn w:val="Normal"/>
    <w:link w:val="BodyTextChar"/>
    <w:uiPriority w:val="99"/>
    <w:semiHidden/>
    <w:unhideWhenUsed/>
    <w:rsid w:val="000F4966"/>
    <w:pPr>
      <w:spacing w:after="120"/>
    </w:pPr>
    <w:rPr>
      <w:sz w:val="27"/>
      <w:szCs w:val="27"/>
      <w:lang w:eastAsia="en-US"/>
    </w:rPr>
  </w:style>
  <w:style w:type="character" w:customStyle="1" w:styleId="BodyTextChar1">
    <w:name w:val="Body Text Char1"/>
    <w:basedOn w:val="DefaultParagraphFont"/>
    <w:uiPriority w:val="99"/>
    <w:semiHidden/>
    <w:rsid w:val="000F4966"/>
    <w:rPr>
      <w:color w:val="000000"/>
      <w:sz w:val="24"/>
      <w:szCs w:val="24"/>
      <w:lang w:eastAsia="ar-SA"/>
    </w:rPr>
  </w:style>
  <w:style w:type="paragraph" w:styleId="ListParagraph">
    <w:name w:val="List Paragraph"/>
    <w:basedOn w:val="Normal"/>
    <w:qFormat/>
    <w:rsid w:val="000F4966"/>
    <w:pPr>
      <w:ind w:left="720"/>
    </w:pPr>
  </w:style>
  <w:style w:type="paragraph" w:styleId="Header">
    <w:name w:val="header"/>
    <w:basedOn w:val="Normal"/>
    <w:link w:val="HeaderChar"/>
    <w:uiPriority w:val="99"/>
    <w:unhideWhenUsed/>
    <w:rsid w:val="00612E6D"/>
    <w:pPr>
      <w:tabs>
        <w:tab w:val="center" w:pos="4153"/>
        <w:tab w:val="right" w:pos="8306"/>
      </w:tabs>
    </w:pPr>
  </w:style>
  <w:style w:type="character" w:customStyle="1" w:styleId="HeaderChar">
    <w:name w:val="Header Char"/>
    <w:basedOn w:val="DefaultParagraphFont"/>
    <w:link w:val="Header"/>
    <w:uiPriority w:val="99"/>
    <w:rsid w:val="00612E6D"/>
    <w:rPr>
      <w:color w:val="000000"/>
      <w:sz w:val="24"/>
      <w:szCs w:val="24"/>
      <w:lang w:eastAsia="ar-SA"/>
    </w:rPr>
  </w:style>
  <w:style w:type="paragraph" w:styleId="Footer">
    <w:name w:val="footer"/>
    <w:basedOn w:val="Normal"/>
    <w:link w:val="FooterChar"/>
    <w:uiPriority w:val="99"/>
    <w:unhideWhenUsed/>
    <w:rsid w:val="00612E6D"/>
    <w:pPr>
      <w:tabs>
        <w:tab w:val="center" w:pos="4153"/>
        <w:tab w:val="right" w:pos="8306"/>
      </w:tabs>
    </w:pPr>
  </w:style>
  <w:style w:type="character" w:customStyle="1" w:styleId="FooterChar">
    <w:name w:val="Footer Char"/>
    <w:basedOn w:val="DefaultParagraphFont"/>
    <w:link w:val="Footer"/>
    <w:uiPriority w:val="99"/>
    <w:rsid w:val="00612E6D"/>
    <w:rPr>
      <w:color w:val="000000"/>
      <w:sz w:val="24"/>
      <w:szCs w:val="24"/>
      <w:lang w:eastAsia="ar-SA"/>
    </w:rPr>
  </w:style>
  <w:style w:type="character" w:styleId="Hyperlink">
    <w:name w:val="Hyperlink"/>
    <w:semiHidden/>
    <w:unhideWhenUsed/>
    <w:rsid w:val="004F26A1"/>
    <w:rPr>
      <w:rFonts w:ascii="Times New Roman" w:hAnsi="Times New Roman" w:cs="Times New Roman" w:hint="default"/>
      <w:color w:val="0000FF"/>
      <w:u w:val="single"/>
    </w:rPr>
  </w:style>
  <w:style w:type="paragraph" w:styleId="BodyTextIndent">
    <w:name w:val="Body Text Indent"/>
    <w:basedOn w:val="Normal"/>
    <w:link w:val="BodyTextIndentChar"/>
    <w:uiPriority w:val="99"/>
    <w:semiHidden/>
    <w:unhideWhenUsed/>
    <w:rsid w:val="004F26A1"/>
    <w:pPr>
      <w:spacing w:after="120"/>
      <w:ind w:left="283"/>
    </w:pPr>
    <w:rPr>
      <w:lang w:val="x-none"/>
    </w:rPr>
  </w:style>
  <w:style w:type="character" w:customStyle="1" w:styleId="BodyTextIndentChar">
    <w:name w:val="Body Text Indent Char"/>
    <w:basedOn w:val="DefaultParagraphFont"/>
    <w:link w:val="BodyTextIndent"/>
    <w:uiPriority w:val="99"/>
    <w:semiHidden/>
    <w:rsid w:val="004F26A1"/>
    <w:rPr>
      <w:color w:val="000000"/>
      <w:sz w:val="24"/>
      <w:szCs w:val="24"/>
      <w:lang w:val="x-none" w:eastAsia="ar-SA"/>
    </w:rPr>
  </w:style>
  <w:style w:type="paragraph" w:customStyle="1" w:styleId="Default">
    <w:name w:val="Default"/>
    <w:rsid w:val="004F26A1"/>
    <w:pPr>
      <w:autoSpaceDE w:val="0"/>
      <w:autoSpaceDN w:val="0"/>
      <w:adjustRightInd w:val="0"/>
    </w:pPr>
    <w:rPr>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325478">
      <w:bodyDiv w:val="1"/>
      <w:marLeft w:val="0"/>
      <w:marRight w:val="0"/>
      <w:marTop w:val="0"/>
      <w:marBottom w:val="0"/>
      <w:divBdr>
        <w:top w:val="none" w:sz="0" w:space="0" w:color="auto"/>
        <w:left w:val="none" w:sz="0" w:space="0" w:color="auto"/>
        <w:bottom w:val="none" w:sz="0" w:space="0" w:color="auto"/>
        <w:right w:val="none" w:sz="0" w:space="0" w:color="auto"/>
      </w:divBdr>
    </w:div>
    <w:div w:id="211794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5085</Words>
  <Characters>2900</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Vinogradova</dc:creator>
  <cp:keywords/>
  <dc:description/>
  <cp:lastModifiedBy>Larisa Vinogradova</cp:lastModifiedBy>
  <cp:revision>4</cp:revision>
  <dcterms:created xsi:type="dcterms:W3CDTF">2018-10-22T06:38:00Z</dcterms:created>
  <dcterms:modified xsi:type="dcterms:W3CDTF">2018-10-22T06:39:00Z</dcterms:modified>
</cp:coreProperties>
</file>