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8D09B6">
      <w:pPr>
        <w:pStyle w:val="Rindkopa"/>
        <w:ind w:left="0"/>
        <w:jc w:val="center"/>
        <w:rPr>
          <w:rFonts w:ascii="Times New Roman" w:hAnsi="Times New Roman"/>
          <w:b/>
          <w:sz w:val="24"/>
        </w:rPr>
      </w:pPr>
      <w:r w:rsidRPr="004F2334">
        <w:rPr>
          <w:rFonts w:ascii="Times New Roman" w:hAnsi="Times New Roman"/>
          <w:b/>
          <w:sz w:val="24"/>
        </w:rPr>
        <w:t xml:space="preserve">LĪGUMS Nr. </w:t>
      </w:r>
      <w:r w:rsidR="008D09B6">
        <w:rPr>
          <w:rFonts w:ascii="Times New Roman" w:hAnsi="Times New Roman"/>
          <w:b/>
          <w:sz w:val="24"/>
        </w:rPr>
        <w:t>8.3/452</w:t>
      </w:r>
      <w:r w:rsidRPr="004F2334">
        <w:rPr>
          <w:rFonts w:ascii="Times New Roman" w:hAnsi="Times New Roman"/>
          <w:b/>
          <w:sz w:val="24"/>
        </w:rPr>
        <w:t xml:space="preserve"> </w:t>
      </w:r>
    </w:p>
    <w:p w:rsidR="006E1355" w:rsidRPr="00702B47" w:rsidRDefault="006E1355" w:rsidP="006E1355">
      <w:pPr>
        <w:pStyle w:val="Punkts"/>
        <w:spacing w:after="12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 xml:space="preserve">8.gada </w:t>
      </w:r>
      <w:r w:rsidR="00B579B1">
        <w:rPr>
          <w:rFonts w:ascii="Times New Roman" w:hAnsi="Times New Roman"/>
          <w:b w:val="0"/>
          <w:sz w:val="24"/>
        </w:rPr>
        <w:t>25.</w:t>
      </w:r>
      <w:r>
        <w:rPr>
          <w:rFonts w:ascii="Times New Roman" w:hAnsi="Times New Roman"/>
          <w:b w:val="0"/>
          <w:sz w:val="24"/>
        </w:rPr>
        <w:t>aprīlī</w:t>
      </w:r>
    </w:p>
    <w:p w:rsidR="006E1355" w:rsidRDefault="006E1355" w:rsidP="00394AD5">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8461AA" w:rsidRPr="003B4CFE">
        <w:rPr>
          <w:rFonts w:ascii="Times New Roman" w:hAnsi="Times New Roman"/>
          <w:b/>
          <w:sz w:val="24"/>
        </w:rPr>
        <w:t>akciju sabiedrība “</w:t>
      </w:r>
      <w:proofErr w:type="spellStart"/>
      <w:r w:rsidR="008461AA" w:rsidRPr="003B4CFE">
        <w:rPr>
          <w:rFonts w:ascii="Times New Roman" w:hAnsi="Times New Roman"/>
          <w:b/>
          <w:sz w:val="24"/>
        </w:rPr>
        <w:t>Kauno</w:t>
      </w:r>
      <w:proofErr w:type="spellEnd"/>
      <w:r w:rsidR="008461AA" w:rsidRPr="003B4CFE">
        <w:rPr>
          <w:rFonts w:ascii="Times New Roman" w:hAnsi="Times New Roman"/>
          <w:b/>
          <w:sz w:val="24"/>
        </w:rPr>
        <w:t xml:space="preserve"> </w:t>
      </w:r>
      <w:proofErr w:type="spellStart"/>
      <w:r w:rsidR="008461AA" w:rsidRPr="003B4CFE">
        <w:rPr>
          <w:rFonts w:ascii="Times New Roman" w:hAnsi="Times New Roman"/>
          <w:b/>
          <w:sz w:val="24"/>
        </w:rPr>
        <w:t>tiltai</w:t>
      </w:r>
      <w:proofErr w:type="spellEnd"/>
      <w:r w:rsidR="008461AA" w:rsidRPr="003B4CFE">
        <w:rPr>
          <w:rFonts w:ascii="Times New Roman" w:hAnsi="Times New Roman"/>
          <w:b/>
          <w:sz w:val="24"/>
        </w:rPr>
        <w:t>”</w:t>
      </w:r>
      <w:r w:rsidR="008461AA" w:rsidRPr="004F2334">
        <w:rPr>
          <w:rFonts w:ascii="Times New Roman" w:hAnsi="Times New Roman"/>
          <w:sz w:val="24"/>
        </w:rPr>
        <w:t>, reģistrācijas Nr.</w:t>
      </w:r>
      <w:r w:rsidR="008461AA">
        <w:rPr>
          <w:rFonts w:ascii="Times New Roman" w:hAnsi="Times New Roman"/>
          <w:sz w:val="24"/>
        </w:rPr>
        <w:t>133729589</w:t>
      </w:r>
      <w:r w:rsidR="008461AA"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394AD5">
      <w:pPr>
        <w:widowControl/>
        <w:numPr>
          <w:ilvl w:val="0"/>
          <w:numId w:val="12"/>
        </w:numPr>
        <w:tabs>
          <w:tab w:val="clear" w:pos="720"/>
          <w:tab w:val="num" w:pos="360"/>
        </w:tabs>
        <w:autoSpaceDE/>
        <w:autoSpaceDN/>
        <w:adjustRightInd/>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8D09B6">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8D09B6">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a</w:t>
      </w:r>
      <w:r w:rsidR="007F1C73" w:rsidRPr="00843FA7">
        <w:rPr>
          <w:b w:val="0"/>
          <w:sz w:val="24"/>
          <w:szCs w:val="24"/>
        </w:rPr>
        <w:t xml:space="preserve">utoceļa </w:t>
      </w:r>
      <w:r w:rsidR="006F3759" w:rsidRPr="00843FA7">
        <w:rPr>
          <w:b w:val="0"/>
          <w:sz w:val="24"/>
          <w:szCs w:val="24"/>
        </w:rPr>
        <w:t xml:space="preserve">Nr.7805 </w:t>
      </w:r>
      <w:proofErr w:type="spellStart"/>
      <w:r w:rsidR="006F3759" w:rsidRPr="006F3759">
        <w:rPr>
          <w:sz w:val="24"/>
          <w:szCs w:val="24"/>
        </w:rPr>
        <w:t>Spundžāni</w:t>
      </w:r>
      <w:proofErr w:type="spellEnd"/>
      <w:r w:rsidR="006F3759" w:rsidRPr="006F3759">
        <w:rPr>
          <w:sz w:val="24"/>
          <w:szCs w:val="24"/>
        </w:rPr>
        <w:t xml:space="preserve"> – </w:t>
      </w:r>
      <w:proofErr w:type="spellStart"/>
      <w:r w:rsidR="006F3759" w:rsidRPr="006F3759">
        <w:rPr>
          <w:sz w:val="24"/>
          <w:szCs w:val="24"/>
        </w:rPr>
        <w:t>Drejerovka</w:t>
      </w:r>
      <w:proofErr w:type="spellEnd"/>
      <w:r w:rsidR="006F3759" w:rsidRPr="006F3759">
        <w:rPr>
          <w:sz w:val="24"/>
          <w:szCs w:val="24"/>
        </w:rPr>
        <w:t xml:space="preserve"> – Mazie Garanči</w:t>
      </w:r>
      <w:r w:rsidR="006F3759" w:rsidRPr="00843FA7">
        <w:rPr>
          <w:b w:val="0"/>
          <w:sz w:val="24"/>
          <w:szCs w:val="24"/>
        </w:rPr>
        <w:t xml:space="preserve"> 0,599 km</w:t>
      </w:r>
      <w:r w:rsidR="006F3759">
        <w:rPr>
          <w:b w:val="0"/>
          <w:sz w:val="24"/>
          <w:szCs w:val="24"/>
        </w:rPr>
        <w:t xml:space="preserve"> 1.kārta</w:t>
      </w:r>
      <w:r w:rsidR="006F3759" w:rsidRPr="00843FA7">
        <w:rPr>
          <w:b w:val="0"/>
          <w:sz w:val="24"/>
          <w:szCs w:val="24"/>
        </w:rPr>
        <w:t xml:space="preserve"> Rēzeknes novada Ozolmuižas</w:t>
      </w:r>
      <w:r w:rsidR="006F3759" w:rsidRPr="00843FA7">
        <w:rPr>
          <w:sz w:val="24"/>
          <w:szCs w:val="24"/>
        </w:rPr>
        <w:t xml:space="preserve"> </w:t>
      </w:r>
      <w:r w:rsidR="006F3759" w:rsidRPr="00843FA7">
        <w:rPr>
          <w:b w:val="0"/>
          <w:sz w:val="24"/>
          <w:szCs w:val="24"/>
        </w:rPr>
        <w:t>pagastā</w:t>
      </w:r>
      <w:r w:rsidR="006F3759" w:rsidRPr="00843FA7">
        <w:rPr>
          <w:b w:val="0"/>
          <w:iCs w:val="0"/>
          <w:sz w:val="24"/>
          <w:szCs w:val="24"/>
          <w:shd w:val="clear" w:color="auto" w:fill="FFFFFF"/>
        </w:rPr>
        <w:t xml:space="preserve"> 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8D09B6">
      <w:pPr>
        <w:tabs>
          <w:tab w:val="left" w:pos="993"/>
        </w:tabs>
        <w:spacing w:after="120"/>
        <w:ind w:firstLine="567"/>
        <w:jc w:val="both"/>
        <w:rPr>
          <w:sz w:val="24"/>
          <w:szCs w:val="24"/>
        </w:rPr>
      </w:pPr>
      <w:r>
        <w:rPr>
          <w:sz w:val="24"/>
        </w:rPr>
        <w:t>2.3.4. Piedāvājums (Līguma 3.pielikums).</w:t>
      </w:r>
    </w:p>
    <w:p w:rsidR="006E1355" w:rsidRPr="004F2334" w:rsidRDefault="006E1355" w:rsidP="008D09B6">
      <w:pPr>
        <w:widowControl/>
        <w:numPr>
          <w:ilvl w:val="0"/>
          <w:numId w:val="11"/>
        </w:numPr>
        <w:autoSpaceDE/>
        <w:autoSpaceDN/>
        <w:adjustRightInd/>
        <w:jc w:val="center"/>
        <w:rPr>
          <w:b/>
          <w:sz w:val="24"/>
          <w:szCs w:val="24"/>
        </w:rPr>
      </w:pPr>
      <w:r w:rsidRPr="004F2334">
        <w:rPr>
          <w:b/>
          <w:sz w:val="24"/>
          <w:szCs w:val="24"/>
        </w:rPr>
        <w:t>Būvdarbu veikšana</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B579B1" w:rsidRPr="00B579B1">
        <w:rPr>
          <w:b/>
          <w:sz w:val="24"/>
          <w:szCs w:val="24"/>
        </w:rPr>
        <w:t>25.</w:t>
      </w:r>
      <w:r w:rsidR="00CE48F0" w:rsidRPr="00B579B1">
        <w:rPr>
          <w:b/>
          <w:sz w:val="24"/>
          <w:szCs w:val="24"/>
        </w:rPr>
        <w:t>a</w:t>
      </w:r>
      <w:r w:rsidR="00CE48F0">
        <w:rPr>
          <w:b/>
          <w:sz w:val="24"/>
          <w:szCs w:val="24"/>
        </w:rPr>
        <w:t>prīlim</w:t>
      </w:r>
      <w:r>
        <w:rPr>
          <w:sz w:val="24"/>
          <w:szCs w:val="24"/>
        </w:rPr>
        <w:t xml:space="preserve">, </w:t>
      </w:r>
      <w:r w:rsidRPr="002808E0">
        <w:rPr>
          <w:sz w:val="24"/>
        </w:rPr>
        <w:t>ņemot vērā ziemas tehnoloģisko pārtraukumu nepiemēroto klimatisko apstākļu dēļ</w:t>
      </w:r>
      <w:r w:rsidRPr="004F2334">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6E1355">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8D09B6">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897763" w:rsidRDefault="006E1355" w:rsidP="00CE48F0">
      <w:pPr>
        <w:widowControl/>
        <w:numPr>
          <w:ilvl w:val="1"/>
          <w:numId w:val="13"/>
        </w:numPr>
        <w:tabs>
          <w:tab w:val="clear" w:pos="360"/>
          <w:tab w:val="num" w:pos="840"/>
          <w:tab w:val="left" w:pos="993"/>
        </w:tabs>
        <w:autoSpaceDE/>
        <w:autoSpaceDN/>
        <w:adjustRightInd/>
        <w:ind w:left="0" w:firstLine="567"/>
        <w:jc w:val="both"/>
        <w:rPr>
          <w:sz w:val="24"/>
          <w:szCs w:val="24"/>
          <w:u w:val="single"/>
        </w:rPr>
      </w:pPr>
      <w:r w:rsidRPr="00D918D4">
        <w:rPr>
          <w:sz w:val="24"/>
          <w:szCs w:val="24"/>
        </w:rPr>
        <w:t xml:space="preserve">Līguma summa ir </w:t>
      </w:r>
      <w:r w:rsidRPr="00CE48F0">
        <w:rPr>
          <w:b/>
          <w:sz w:val="24"/>
          <w:szCs w:val="24"/>
        </w:rPr>
        <w:t>EUR</w:t>
      </w:r>
      <w:r w:rsidRPr="00D918D4">
        <w:rPr>
          <w:sz w:val="24"/>
          <w:szCs w:val="24"/>
        </w:rPr>
        <w:t xml:space="preserve"> </w:t>
      </w:r>
      <w:r w:rsidR="006F3759">
        <w:rPr>
          <w:b/>
          <w:sz w:val="24"/>
          <w:szCs w:val="24"/>
        </w:rPr>
        <w:t>80 599,81</w:t>
      </w:r>
      <w:r w:rsidR="00CE48F0">
        <w:rPr>
          <w:sz w:val="24"/>
          <w:szCs w:val="24"/>
        </w:rPr>
        <w:t xml:space="preserve"> (</w:t>
      </w:r>
      <w:r w:rsidR="006F3759">
        <w:rPr>
          <w:sz w:val="24"/>
          <w:szCs w:val="24"/>
        </w:rPr>
        <w:t>astoņdesmit tūkstoši pieci simti deviņdesmit deviņi</w:t>
      </w:r>
      <w:r w:rsidR="00CE48F0">
        <w:rPr>
          <w:sz w:val="24"/>
          <w:szCs w:val="24"/>
        </w:rPr>
        <w:t xml:space="preserve"> </w:t>
      </w:r>
      <w:proofErr w:type="spellStart"/>
      <w:r w:rsidR="00CE48F0" w:rsidRPr="00CE48F0">
        <w:rPr>
          <w:i/>
          <w:sz w:val="24"/>
          <w:szCs w:val="24"/>
        </w:rPr>
        <w:t>euro</w:t>
      </w:r>
      <w:proofErr w:type="spellEnd"/>
      <w:r w:rsidR="006F3759">
        <w:rPr>
          <w:sz w:val="24"/>
          <w:szCs w:val="24"/>
        </w:rPr>
        <w:t>, 81 cents</w:t>
      </w:r>
      <w:r w:rsidRPr="00D918D4">
        <w:rPr>
          <w:sz w:val="24"/>
          <w:szCs w:val="24"/>
        </w:rPr>
        <w:t xml:space="preserve">), neieskaitot pievienotās vērtības nodokli, turpmāk – PVN. PVN 21% EUR </w:t>
      </w:r>
      <w:r w:rsidR="006F3759">
        <w:rPr>
          <w:sz w:val="24"/>
          <w:szCs w:val="24"/>
        </w:rPr>
        <w:t xml:space="preserve">16 925,96 </w:t>
      </w:r>
      <w:r w:rsidR="00CE48F0">
        <w:rPr>
          <w:sz w:val="24"/>
          <w:szCs w:val="24"/>
        </w:rPr>
        <w:t>(</w:t>
      </w:r>
      <w:r w:rsidR="006F3759">
        <w:rPr>
          <w:sz w:val="24"/>
          <w:szCs w:val="24"/>
        </w:rPr>
        <w:t>sešpadsmit tūkstoši deviņi simti divdesmit pieci</w:t>
      </w:r>
      <w:r w:rsidR="00CE48F0">
        <w:rPr>
          <w:sz w:val="24"/>
          <w:szCs w:val="24"/>
        </w:rPr>
        <w:t xml:space="preserve"> </w:t>
      </w:r>
      <w:proofErr w:type="spellStart"/>
      <w:r w:rsidR="00CE48F0" w:rsidRPr="00CE48F0">
        <w:rPr>
          <w:i/>
          <w:sz w:val="24"/>
          <w:szCs w:val="24"/>
        </w:rPr>
        <w:t>euro</w:t>
      </w:r>
      <w:proofErr w:type="spellEnd"/>
      <w:r w:rsidR="006F3759">
        <w:rPr>
          <w:sz w:val="24"/>
          <w:szCs w:val="24"/>
        </w:rPr>
        <w:t>, 96</w:t>
      </w:r>
      <w:r w:rsidR="00CE48F0">
        <w:rPr>
          <w:sz w:val="24"/>
          <w:szCs w:val="24"/>
        </w:rPr>
        <w:t xml:space="preserve"> centi</w:t>
      </w:r>
      <w:r w:rsidRPr="00CE48F0">
        <w:rPr>
          <w:sz w:val="24"/>
          <w:szCs w:val="24"/>
        </w:rPr>
        <w:t xml:space="preserve">) tiek maksāts Pievienotās vērtības nodokļa likuma 142.panta noteiktajā kārtībā. </w:t>
      </w:r>
      <w:r w:rsidRPr="00897763">
        <w:rPr>
          <w:sz w:val="24"/>
          <w:szCs w:val="24"/>
          <w:u w:val="single"/>
        </w:rPr>
        <w:t xml:space="preserve">Līguma kopējā summa ar PVN ir EUR </w:t>
      </w:r>
      <w:r w:rsidR="006F3759">
        <w:rPr>
          <w:sz w:val="24"/>
          <w:szCs w:val="24"/>
          <w:u w:val="single"/>
        </w:rPr>
        <w:t>97 525,77 (deviņdesmit septiņi tūkstoši pieci simti divdesmit pieci</w:t>
      </w:r>
      <w:r w:rsidR="00897763" w:rsidRPr="00897763">
        <w:rPr>
          <w:sz w:val="24"/>
          <w:szCs w:val="24"/>
          <w:u w:val="single"/>
        </w:rPr>
        <w:t xml:space="preserve"> </w:t>
      </w:r>
      <w:proofErr w:type="spellStart"/>
      <w:r w:rsidR="00897763" w:rsidRPr="00897763">
        <w:rPr>
          <w:i/>
          <w:sz w:val="24"/>
          <w:szCs w:val="24"/>
          <w:u w:val="single"/>
        </w:rPr>
        <w:t>euro</w:t>
      </w:r>
      <w:proofErr w:type="spellEnd"/>
      <w:r w:rsidR="006F3759">
        <w:rPr>
          <w:sz w:val="24"/>
          <w:szCs w:val="24"/>
          <w:u w:val="single"/>
        </w:rPr>
        <w:t>, 77</w:t>
      </w:r>
      <w:r w:rsidR="00897763" w:rsidRPr="00897763">
        <w:rPr>
          <w:sz w:val="24"/>
          <w:szCs w:val="24"/>
          <w:u w:val="single"/>
        </w:rPr>
        <w:t xml:space="preserve"> centi</w:t>
      </w:r>
      <w:r w:rsidRPr="00897763">
        <w:rPr>
          <w:sz w:val="24"/>
          <w:szCs w:val="24"/>
          <w:u w:val="single"/>
        </w:rPr>
        <w:t>).</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6E1355" w:rsidRDefault="006E1355" w:rsidP="008D09B6">
      <w:pPr>
        <w:widowControl/>
        <w:numPr>
          <w:ilvl w:val="2"/>
          <w:numId w:val="13"/>
        </w:numPr>
        <w:tabs>
          <w:tab w:val="clear" w:pos="1440"/>
          <w:tab w:val="num" w:pos="360"/>
          <w:tab w:val="left" w:pos="567"/>
          <w:tab w:val="left" w:pos="1276"/>
        </w:tabs>
        <w:autoSpaceDE/>
        <w:autoSpaceDN/>
        <w:adjustRightInd/>
        <w:spacing w:after="120"/>
        <w:ind w:left="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6F3759">
        <w:rPr>
          <w:sz w:val="24"/>
          <w:szCs w:val="24"/>
        </w:rPr>
        <w:t>8 059,98</w:t>
      </w:r>
      <w:r w:rsidR="00897763">
        <w:rPr>
          <w:sz w:val="24"/>
          <w:szCs w:val="24"/>
        </w:rPr>
        <w:t xml:space="preserve"> (</w:t>
      </w:r>
      <w:r w:rsidR="006F3759">
        <w:rPr>
          <w:sz w:val="24"/>
          <w:szCs w:val="24"/>
        </w:rPr>
        <w:t>astoņi tūkstoši piecdesmit deviņi</w:t>
      </w:r>
      <w:r w:rsidR="00897763">
        <w:rPr>
          <w:sz w:val="24"/>
          <w:szCs w:val="24"/>
        </w:rPr>
        <w:t xml:space="preserve"> </w:t>
      </w:r>
      <w:proofErr w:type="spellStart"/>
      <w:r w:rsidR="00897763" w:rsidRPr="00897763">
        <w:rPr>
          <w:i/>
          <w:sz w:val="24"/>
          <w:szCs w:val="24"/>
        </w:rPr>
        <w:t>euro</w:t>
      </w:r>
      <w:proofErr w:type="spellEnd"/>
      <w:r w:rsidR="006F3759">
        <w:rPr>
          <w:sz w:val="24"/>
          <w:szCs w:val="24"/>
        </w:rPr>
        <w:t>, 98</w:t>
      </w:r>
      <w:r w:rsidR="00897763">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6E1355" w:rsidRPr="004F2334" w:rsidRDefault="006E1355" w:rsidP="008D09B6">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w:t>
      </w:r>
      <w:r>
        <w:rPr>
          <w:sz w:val="24"/>
          <w:szCs w:val="24"/>
        </w:rPr>
        <w:lastRenderedPageBreak/>
        <w:t>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8D09B6">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8D09B6">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147DC1" w:rsidRDefault="006E1355" w:rsidP="00147DC1">
      <w:pPr>
        <w:pStyle w:val="ListParagraph"/>
        <w:widowControl/>
        <w:numPr>
          <w:ilvl w:val="1"/>
          <w:numId w:val="13"/>
        </w:numPr>
        <w:tabs>
          <w:tab w:val="left" w:pos="993"/>
        </w:tabs>
        <w:autoSpaceDE/>
        <w:autoSpaceDN/>
        <w:adjustRightInd/>
        <w:jc w:val="both"/>
        <w:rPr>
          <w:sz w:val="24"/>
          <w:szCs w:val="24"/>
          <w:u w:val="single"/>
        </w:rPr>
      </w:pPr>
      <w:r w:rsidRPr="00147DC1">
        <w:rPr>
          <w:sz w:val="24"/>
          <w:szCs w:val="24"/>
          <w:u w:val="single"/>
        </w:rPr>
        <w:t>Būvdarbu veicējs apņemas:</w:t>
      </w:r>
    </w:p>
    <w:p w:rsidR="006E1355" w:rsidRPr="00BF4494" w:rsidRDefault="006E1355" w:rsidP="00147DC1">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147DC1">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w:t>
      </w:r>
      <w:r w:rsidRPr="004F2334">
        <w:rPr>
          <w:sz w:val="24"/>
          <w:szCs w:val="24"/>
        </w:rPr>
        <w:lastRenderedPageBreak/>
        <w:t xml:space="preserve">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394AD5">
      <w:pPr>
        <w:widowControl/>
        <w:tabs>
          <w:tab w:val="left" w:pos="0"/>
          <w:tab w:val="left" w:pos="993"/>
          <w:tab w:val="left" w:pos="1276"/>
        </w:tabs>
        <w:autoSpaceDE/>
        <w:autoSpaceDN/>
        <w:adjustRightInd/>
        <w:spacing w:after="120"/>
        <w:ind w:firstLine="992"/>
        <w:jc w:val="both"/>
        <w:rPr>
          <w:sz w:val="24"/>
        </w:rPr>
      </w:pPr>
      <w:r>
        <w:rPr>
          <w:sz w:val="24"/>
        </w:rPr>
        <w:t>6.11.2. autoceļiem ar melno segumu – remontē bedrītes.</w:t>
      </w:r>
    </w:p>
    <w:p w:rsidR="006E1355" w:rsidRPr="004F2334" w:rsidRDefault="006E1355" w:rsidP="008D09B6">
      <w:pPr>
        <w:keepNext/>
        <w:widowControl/>
        <w:numPr>
          <w:ilvl w:val="0"/>
          <w:numId w:val="37"/>
        </w:numPr>
        <w:autoSpaceDE/>
        <w:autoSpaceDN/>
        <w:adjustRightInd/>
        <w:ind w:left="539" w:hanging="539"/>
        <w:jc w:val="center"/>
        <w:rPr>
          <w:b/>
          <w:sz w:val="24"/>
          <w:szCs w:val="24"/>
        </w:rPr>
      </w:pPr>
      <w:r w:rsidRPr="004F2334">
        <w:rPr>
          <w:b/>
          <w:sz w:val="24"/>
          <w:szCs w:val="24"/>
        </w:rPr>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lastRenderedPageBreak/>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8D09B6">
      <w:pPr>
        <w:widowControl/>
        <w:autoSpaceDE/>
        <w:autoSpaceDN/>
        <w:adjustRightInd/>
        <w:spacing w:after="120"/>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8D09B6">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6E1355" w:rsidRDefault="006E1355" w:rsidP="006E1355">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w:t>
      </w:r>
      <w:r w:rsidRPr="00877B30">
        <w:rPr>
          <w:sz w:val="24"/>
        </w:rPr>
        <w:lastRenderedPageBreak/>
        <w:t>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8D09B6">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8D09B6">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8D09B6">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6E1355">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8D09B6">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rsidR="006E1355" w:rsidRDefault="006E1355" w:rsidP="008D09B6">
      <w:pPr>
        <w:tabs>
          <w:tab w:val="left" w:pos="567"/>
        </w:tabs>
        <w:spacing w:after="120"/>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8D09B6">
      <w:pPr>
        <w:keepNext/>
        <w:widowControl/>
        <w:autoSpaceDE/>
        <w:autoSpaceDN/>
        <w:adjustRightInd/>
        <w:spacing w:before="120"/>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8D09B6">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8D09B6">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8D09B6">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8D09B6">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8D09B6">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B579B1" w:rsidRDefault="00B579B1" w:rsidP="00B579B1">
                  <w:pPr>
                    <w:rPr>
                      <w:b/>
                      <w:sz w:val="24"/>
                      <w:szCs w:val="24"/>
                      <w:lang w:val="en-GB"/>
                    </w:rPr>
                  </w:pPr>
                  <w:r>
                    <w:rPr>
                      <w:b/>
                      <w:bCs/>
                      <w:sz w:val="24"/>
                      <w:szCs w:val="24"/>
                    </w:rPr>
                    <w:t>AS “</w:t>
                  </w:r>
                  <w:proofErr w:type="spellStart"/>
                  <w:r>
                    <w:rPr>
                      <w:b/>
                      <w:bCs/>
                      <w:sz w:val="24"/>
                      <w:szCs w:val="24"/>
                    </w:rPr>
                    <w:t>Kauno</w:t>
                  </w:r>
                  <w:proofErr w:type="spellEnd"/>
                  <w:r>
                    <w:rPr>
                      <w:b/>
                      <w:bCs/>
                      <w:sz w:val="24"/>
                      <w:szCs w:val="24"/>
                    </w:rPr>
                    <w:t xml:space="preserve"> </w:t>
                  </w:r>
                  <w:proofErr w:type="spellStart"/>
                  <w:r>
                    <w:rPr>
                      <w:b/>
                      <w:bCs/>
                      <w:sz w:val="24"/>
                      <w:szCs w:val="24"/>
                    </w:rPr>
                    <w:t>tiltai</w:t>
                  </w:r>
                  <w:proofErr w:type="spellEnd"/>
                  <w:r>
                    <w:rPr>
                      <w:b/>
                      <w:bCs/>
                      <w:sz w:val="24"/>
                      <w:szCs w:val="24"/>
                    </w:rPr>
                    <w:t>”</w:t>
                  </w:r>
                </w:p>
                <w:p w:rsidR="00B579B1" w:rsidRDefault="00B579B1" w:rsidP="00B579B1">
                  <w:pPr>
                    <w:rPr>
                      <w:sz w:val="24"/>
                      <w:szCs w:val="24"/>
                    </w:rPr>
                  </w:pPr>
                  <w:r>
                    <w:rPr>
                      <w:sz w:val="24"/>
                      <w:szCs w:val="24"/>
                    </w:rPr>
                    <w:t>reģ.Nr.133729589,</w:t>
                  </w:r>
                </w:p>
                <w:p w:rsidR="00024A24" w:rsidRPr="004F2334" w:rsidRDefault="00024A24" w:rsidP="00394AD5">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4F2334" w:rsidRDefault="00024A24" w:rsidP="00394AD5">
                  <w:pPr>
                    <w:rPr>
                      <w:sz w:val="24"/>
                      <w:szCs w:val="24"/>
                    </w:rPr>
                  </w:pPr>
                </w:p>
              </w:tc>
            </w:tr>
            <w:tr w:rsidR="00024A24" w:rsidRPr="004F2334" w:rsidTr="00D82402">
              <w:tc>
                <w:tcPr>
                  <w:tcW w:w="4390" w:type="dxa"/>
                </w:tcPr>
                <w:p w:rsidR="00024A24" w:rsidRDefault="00024A24" w:rsidP="00024A24">
                  <w:pPr>
                    <w:rPr>
                      <w:sz w:val="24"/>
                      <w:szCs w:val="24"/>
                    </w:rPr>
                  </w:pPr>
                </w:p>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8D09B6">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8D09B6">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7"/>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EC" w:rsidRDefault="00C37DEC" w:rsidP="00CE48F0">
      <w:r>
        <w:separator/>
      </w:r>
    </w:p>
  </w:endnote>
  <w:endnote w:type="continuationSeparator" w:id="0">
    <w:p w:rsidR="00C37DEC" w:rsidRDefault="00C37DEC"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EC" w:rsidRDefault="00C37DEC" w:rsidP="00CE48F0">
      <w:r>
        <w:separator/>
      </w:r>
    </w:p>
  </w:footnote>
  <w:footnote w:type="continuationSeparator" w:id="0">
    <w:p w:rsidR="00C37DEC" w:rsidRDefault="00C37DEC"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24A24"/>
    <w:rsid w:val="00147DC1"/>
    <w:rsid w:val="002F1765"/>
    <w:rsid w:val="00394AD5"/>
    <w:rsid w:val="003E48E3"/>
    <w:rsid w:val="006E1355"/>
    <w:rsid w:val="006F3759"/>
    <w:rsid w:val="0072266B"/>
    <w:rsid w:val="007F1C73"/>
    <w:rsid w:val="008461AA"/>
    <w:rsid w:val="00897763"/>
    <w:rsid w:val="008D09B6"/>
    <w:rsid w:val="0095251A"/>
    <w:rsid w:val="009B5EDD"/>
    <w:rsid w:val="00A35676"/>
    <w:rsid w:val="00B579B1"/>
    <w:rsid w:val="00C05E69"/>
    <w:rsid w:val="00C37DEC"/>
    <w:rsid w:val="00CE48F0"/>
    <w:rsid w:val="00D42C73"/>
    <w:rsid w:val="00D630FA"/>
    <w:rsid w:val="00DC4D28"/>
    <w:rsid w:val="00F93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64D5"/>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22666</Words>
  <Characters>12920</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3</cp:revision>
  <dcterms:created xsi:type="dcterms:W3CDTF">2018-05-14T14:21:00Z</dcterms:created>
  <dcterms:modified xsi:type="dcterms:W3CDTF">2018-05-14T14:23:00Z</dcterms:modified>
</cp:coreProperties>
</file>