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F0FE4" w:rsidRPr="00EF0FE4" w:rsidTr="00BD39CA">
        <w:trPr>
          <w:trHeight w:hRule="exact" w:val="2213"/>
        </w:trPr>
        <w:tc>
          <w:tcPr>
            <w:tcW w:w="2401" w:type="dxa"/>
          </w:tcPr>
          <w:p w:rsidR="00EF0FE4" w:rsidRPr="00EF0FE4" w:rsidRDefault="00EF0FE4" w:rsidP="00EF0FE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EF0FE4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1372869</wp:posOffset>
                      </wp:positionV>
                      <wp:extent cx="595058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AADA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EF0FE4">
              <w:rPr>
                <w:noProof/>
                <w:sz w:val="28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F0FE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F0FE4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F0FE4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F0FE4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F0FE4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EF0FE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F0FE4" w:rsidRPr="00EF0FE4" w:rsidRDefault="00EF0FE4" w:rsidP="00EF0FE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F0FE4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6" w:history="1">
              <w:r w:rsidRPr="00EF0FE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EF0FE4" w:rsidRDefault="00EF0FE4" w:rsidP="007E3110">
      <w:pPr>
        <w:ind w:right="46"/>
        <w:jc w:val="center"/>
        <w:rPr>
          <w:b/>
          <w:bCs/>
        </w:rPr>
      </w:pPr>
    </w:p>
    <w:p w:rsidR="007E3110" w:rsidRDefault="00D41B30" w:rsidP="007E3110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  <w:r w:rsidR="007E3110">
        <w:rPr>
          <w:b/>
          <w:bCs/>
        </w:rPr>
        <w:t xml:space="preserve"> </w:t>
      </w:r>
    </w:p>
    <w:p w:rsidR="00D41B30" w:rsidRPr="007E3110" w:rsidRDefault="00D41B30" w:rsidP="007E3110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D41B30" w:rsidRDefault="00D41B30" w:rsidP="00D41B30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 </w:t>
      </w:r>
    </w:p>
    <w:p w:rsidR="00EF0FE4" w:rsidRPr="00CB57EF" w:rsidRDefault="00EF0FE4" w:rsidP="00D41B30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Pr="000D3396">
              <w:rPr>
                <w:bCs/>
                <w:sz w:val="22"/>
                <w:szCs w:val="22"/>
              </w:rPr>
              <w:t>Rēzeknes novada pašvaldības 2017.gada 20.jūlija saistošie noteikumi Nr.1 „Rēzeknes novada pašvaldības nolikums”, turpmāk - Saistošie noteikumi Nr.1 (parakstīti 20.07.2017., stājušies spēkā 21.07.2017.)</w:t>
            </w:r>
          </w:p>
          <w:p w:rsidR="000D3396" w:rsidRDefault="00C20748" w:rsidP="000D3396">
            <w:pPr>
              <w:ind w:firstLine="377"/>
              <w:jc w:val="both"/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.gada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februārī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pieņēmusi lēmumus – “</w:t>
            </w:r>
            <w:r w:rsidR="0002118C" w:rsidRPr="0002118C">
              <w:rPr>
                <w:rFonts w:eastAsia="Calibri"/>
                <w:iCs/>
                <w:sz w:val="22"/>
                <w:szCs w:val="22"/>
                <w:lang w:eastAsia="en-US"/>
              </w:rPr>
              <w:t>Par Rēzeknes novada pašvaldības Adamovas speciālās internātpamatskolas likvidāciju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un “</w:t>
            </w:r>
            <w:r w:rsidR="0002118C" w:rsidRPr="0002118C">
              <w:rPr>
                <w:rFonts w:eastAsia="Calibri"/>
                <w:iCs/>
                <w:sz w:val="22"/>
                <w:szCs w:val="22"/>
                <w:lang w:eastAsia="en-US"/>
              </w:rPr>
              <w:t>Par Rēzeknes novada pašvaldības Tiskādu speciālās internātpamatskolas likvidāciju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ar kuriem lēmumos minētās iestādes likvidētas ar 2019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.gada 3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augustu</w:t>
            </w:r>
            <w:r w:rsidR="000D3396" w:rsidRPr="000D3396">
              <w:rPr>
                <w:iCs/>
                <w:sz w:val="22"/>
                <w:szCs w:val="22"/>
              </w:rPr>
              <w:t>.</w:t>
            </w:r>
          </w:p>
          <w:p w:rsidR="00C20748" w:rsidRDefault="00C20748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8.gada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21</w:t>
            </w:r>
            <w:r w:rsidR="0002118C"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>februārī</w:t>
            </w:r>
            <w:r w:rsidR="0002118C"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02118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ir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pieņēmusi lēmumu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</w:t>
            </w:r>
            <w:r w:rsidR="0002118C" w:rsidRPr="0002118C">
              <w:rPr>
                <w:rFonts w:eastAsia="Calibri"/>
                <w:iCs/>
                <w:sz w:val="22"/>
                <w:szCs w:val="22"/>
                <w:lang w:eastAsia="en-US"/>
              </w:rPr>
              <w:t>Par Maltas speciālās internātpamatskolas nosaukuma maiņu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”,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ar 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kuru noteikusi, ka ar </w:t>
            </w:r>
            <w:r w:rsidR="007214F4">
              <w:rPr>
                <w:rFonts w:eastAsia="Calibri"/>
                <w:iCs/>
                <w:sz w:val="22"/>
                <w:szCs w:val="22"/>
                <w:lang w:eastAsia="en-US"/>
              </w:rPr>
              <w:t>2019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.gada </w:t>
            </w:r>
            <w:r w:rsidR="007214F4">
              <w:rPr>
                <w:rFonts w:eastAsia="Calibri"/>
                <w:iCs/>
                <w:sz w:val="22"/>
                <w:szCs w:val="22"/>
                <w:lang w:eastAsia="en-US"/>
              </w:rPr>
              <w:t>1.jūliju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tiek </w:t>
            </w:r>
            <w:r w:rsidR="007214F4" w:rsidRPr="007214F4">
              <w:rPr>
                <w:rFonts w:eastAsia="Calibri"/>
                <w:iCs/>
                <w:sz w:val="22"/>
                <w:szCs w:val="22"/>
                <w:lang w:eastAsia="en-US"/>
              </w:rPr>
              <w:t>veikt</w:t>
            </w:r>
            <w:r w:rsidR="007214F4">
              <w:rPr>
                <w:rFonts w:eastAsia="Calibri"/>
                <w:iCs/>
                <w:sz w:val="22"/>
                <w:szCs w:val="22"/>
                <w:lang w:eastAsia="en-US"/>
              </w:rPr>
              <w:t>a</w:t>
            </w:r>
            <w:r w:rsidR="007214F4" w:rsidRPr="007214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Maltas speciālās internātpamatskolas nosaukuma maiņu uz “Rēzeknes novada speciālā pamatskola”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7E3110" w:rsidRPr="00751571" w:rsidRDefault="007E3110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Bez tam </w:t>
            </w:r>
            <w:r w:rsidR="007214F4">
              <w:rPr>
                <w:bCs/>
                <w:sz w:val="22"/>
                <w:szCs w:val="22"/>
              </w:rPr>
              <w:t xml:space="preserve">saskaņā Valsts Kontroles Piektā </w:t>
            </w:r>
            <w:r w:rsidR="00C74CAE">
              <w:rPr>
                <w:bCs/>
                <w:sz w:val="22"/>
                <w:szCs w:val="22"/>
              </w:rPr>
              <w:t>revīzijas</w:t>
            </w:r>
            <w:r w:rsidR="007214F4">
              <w:rPr>
                <w:bCs/>
                <w:sz w:val="22"/>
                <w:szCs w:val="22"/>
              </w:rPr>
              <w:t xml:space="preserve"> departamenta 2019.gada </w:t>
            </w:r>
            <w:r w:rsidR="00C74CAE">
              <w:rPr>
                <w:bCs/>
                <w:sz w:val="22"/>
                <w:szCs w:val="22"/>
              </w:rPr>
              <w:t>15.augusta</w:t>
            </w:r>
            <w:r w:rsidR="007214F4">
              <w:rPr>
                <w:bCs/>
                <w:sz w:val="22"/>
                <w:szCs w:val="22"/>
              </w:rPr>
              <w:t xml:space="preserve"> vēstuli “Par revīzijas Nr.2.4.1-23/2018</w:t>
            </w:r>
            <w:r w:rsidR="00A06D74">
              <w:rPr>
                <w:bCs/>
                <w:sz w:val="22"/>
                <w:szCs w:val="22"/>
              </w:rPr>
              <w:t xml:space="preserve"> konstatējumu saskaņošanu</w:t>
            </w:r>
            <w:r w:rsidR="007214F4">
              <w:rPr>
                <w:bCs/>
                <w:sz w:val="22"/>
                <w:szCs w:val="22"/>
              </w:rPr>
              <w:t xml:space="preserve">”, ir izvērtēta iespēja precizēt </w:t>
            </w:r>
            <w:r w:rsidR="008B5A27">
              <w:rPr>
                <w:bCs/>
                <w:sz w:val="22"/>
                <w:szCs w:val="22"/>
              </w:rPr>
              <w:t>informāciju par izveidotajām iestādēm –</w:t>
            </w:r>
            <w:r w:rsidR="00A06D74">
              <w:rPr>
                <w:bCs/>
                <w:sz w:val="22"/>
                <w:szCs w:val="22"/>
              </w:rPr>
              <w:t xml:space="preserve"> administrāciju</w:t>
            </w:r>
            <w:r w:rsidR="008B5A27">
              <w:rPr>
                <w:bCs/>
                <w:sz w:val="22"/>
                <w:szCs w:val="22"/>
              </w:rPr>
              <w:t xml:space="preserve"> </w:t>
            </w:r>
            <w:r w:rsidR="00A06D74">
              <w:rPr>
                <w:bCs/>
                <w:sz w:val="22"/>
                <w:szCs w:val="22"/>
              </w:rPr>
              <w:t>un vēlēšanu komisiju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D41B30" w:rsidRPr="00656ED7" w:rsidRDefault="000D3396" w:rsidP="000D3396">
            <w:pPr>
              <w:ind w:firstLine="377"/>
              <w:jc w:val="both"/>
              <w:rPr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41B30" w:rsidRPr="00DA131B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Rēzeknes novada pašvaldības saistošie noteikumi „Grozījumi Rēzeknes novada pašvaldības 2017.gada 20.jūlija saistošajos noteikumos Nr.1 „Rēzeknes novada pašvaldības nolikums”” izdoti saskaņā ar  likuma „Par pašvaldībām” 21.panta pirmās daļas 1.punktu un 24.pantu.</w:t>
            </w:r>
          </w:p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D41B30" w:rsidRPr="000D3396" w:rsidRDefault="000D3396" w:rsidP="00C5499C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Pr="000D3396">
              <w:rPr>
                <w:b w:val="0"/>
                <w:sz w:val="22"/>
                <w:szCs w:val="22"/>
              </w:rPr>
              <w:t xml:space="preserve">Saistošie noteikumi paredz </w:t>
            </w:r>
            <w:r w:rsidR="00C66907">
              <w:rPr>
                <w:b w:val="0"/>
                <w:sz w:val="22"/>
                <w:szCs w:val="22"/>
              </w:rPr>
              <w:t>svītrot</w:t>
            </w:r>
            <w:r w:rsidRPr="000D3396">
              <w:rPr>
                <w:b w:val="0"/>
                <w:sz w:val="22"/>
                <w:szCs w:val="22"/>
              </w:rPr>
              <w:t xml:space="preserve"> Saistošo noteikumu Nr.1 </w:t>
            </w:r>
            <w:r w:rsidR="008B5A27">
              <w:rPr>
                <w:b w:val="0"/>
                <w:sz w:val="22"/>
                <w:szCs w:val="22"/>
              </w:rPr>
              <w:t>5.37</w:t>
            </w:r>
            <w:r w:rsidR="00A84812">
              <w:rPr>
                <w:b w:val="0"/>
                <w:sz w:val="22"/>
                <w:szCs w:val="22"/>
              </w:rPr>
              <w:t>.</w:t>
            </w:r>
            <w:r w:rsidR="008B5A27">
              <w:rPr>
                <w:b w:val="0"/>
                <w:sz w:val="22"/>
                <w:szCs w:val="22"/>
              </w:rPr>
              <w:t xml:space="preserve"> un</w:t>
            </w:r>
            <w:r w:rsidR="00A84812">
              <w:rPr>
                <w:b w:val="0"/>
                <w:sz w:val="22"/>
                <w:szCs w:val="22"/>
              </w:rPr>
              <w:t xml:space="preserve"> </w:t>
            </w:r>
            <w:r w:rsidR="00C66907">
              <w:rPr>
                <w:b w:val="0"/>
                <w:sz w:val="22"/>
                <w:szCs w:val="22"/>
              </w:rPr>
              <w:t>5.</w:t>
            </w:r>
            <w:r w:rsidR="008B5A27">
              <w:rPr>
                <w:b w:val="0"/>
                <w:sz w:val="22"/>
                <w:szCs w:val="22"/>
              </w:rPr>
              <w:t>39</w:t>
            </w:r>
            <w:r w:rsidRPr="000D3396">
              <w:rPr>
                <w:b w:val="0"/>
                <w:sz w:val="22"/>
                <w:szCs w:val="22"/>
              </w:rPr>
              <w:t>.</w:t>
            </w:r>
            <w:r w:rsidR="00C5499C">
              <w:rPr>
                <w:b w:val="0"/>
                <w:sz w:val="22"/>
                <w:szCs w:val="22"/>
              </w:rPr>
              <w:t>apakš</w:t>
            </w:r>
            <w:r w:rsidRPr="000D3396">
              <w:rPr>
                <w:b w:val="0"/>
                <w:sz w:val="22"/>
                <w:szCs w:val="22"/>
              </w:rPr>
              <w:t>punktu</w:t>
            </w:r>
            <w:r w:rsidR="00C66907">
              <w:rPr>
                <w:b w:val="0"/>
                <w:sz w:val="22"/>
                <w:szCs w:val="22"/>
              </w:rPr>
              <w:t>s</w:t>
            </w:r>
            <w:r w:rsidRPr="000D3396">
              <w:rPr>
                <w:b w:val="0"/>
                <w:sz w:val="22"/>
                <w:szCs w:val="22"/>
              </w:rPr>
              <w:t xml:space="preserve">, </w:t>
            </w:r>
            <w:r w:rsidR="00C5499C">
              <w:rPr>
                <w:b w:val="0"/>
                <w:sz w:val="22"/>
                <w:szCs w:val="22"/>
              </w:rPr>
              <w:t xml:space="preserve">precizēt </w:t>
            </w:r>
            <w:r w:rsidR="00345D7A">
              <w:rPr>
                <w:b w:val="0"/>
                <w:sz w:val="22"/>
                <w:szCs w:val="22"/>
              </w:rPr>
              <w:t xml:space="preserve">5.38., </w:t>
            </w:r>
            <w:r w:rsidR="00C5499C">
              <w:rPr>
                <w:b w:val="0"/>
                <w:sz w:val="22"/>
                <w:szCs w:val="22"/>
              </w:rPr>
              <w:t>5.46</w:t>
            </w:r>
            <w:r w:rsidR="00C5499C" w:rsidRPr="000D3396">
              <w:rPr>
                <w:b w:val="0"/>
                <w:sz w:val="22"/>
                <w:szCs w:val="22"/>
              </w:rPr>
              <w:t>.</w:t>
            </w:r>
            <w:r w:rsidR="00345D7A">
              <w:rPr>
                <w:b w:val="0"/>
                <w:sz w:val="22"/>
                <w:szCs w:val="22"/>
              </w:rPr>
              <w:t>apakšpunktu</w:t>
            </w:r>
            <w:bookmarkStart w:id="0" w:name="_GoBack"/>
            <w:bookmarkEnd w:id="0"/>
            <w:r w:rsidR="00C5499C">
              <w:rPr>
                <w:b w:val="0"/>
                <w:sz w:val="22"/>
                <w:szCs w:val="22"/>
              </w:rPr>
              <w:t xml:space="preserve"> redakciju, </w:t>
            </w:r>
            <w:r w:rsidR="00C5499C" w:rsidRPr="000D3396">
              <w:rPr>
                <w:b w:val="0"/>
                <w:sz w:val="22"/>
                <w:szCs w:val="22"/>
              </w:rPr>
              <w:t xml:space="preserve"> </w:t>
            </w:r>
            <w:r w:rsidRPr="000D3396">
              <w:rPr>
                <w:b w:val="0"/>
                <w:sz w:val="22"/>
                <w:szCs w:val="22"/>
              </w:rPr>
              <w:t xml:space="preserve">kā arī </w:t>
            </w:r>
            <w:r w:rsidR="00C66907">
              <w:rPr>
                <w:b w:val="0"/>
                <w:sz w:val="22"/>
                <w:szCs w:val="22"/>
              </w:rPr>
              <w:t xml:space="preserve">izteikt jaunā redakcijā </w:t>
            </w:r>
            <w:r w:rsidR="008B5A27">
              <w:rPr>
                <w:b w:val="0"/>
                <w:sz w:val="22"/>
                <w:szCs w:val="22"/>
              </w:rPr>
              <w:t>5.1</w:t>
            </w:r>
            <w:r w:rsidRPr="000D3396">
              <w:rPr>
                <w:b w:val="0"/>
                <w:sz w:val="22"/>
                <w:szCs w:val="22"/>
              </w:rPr>
              <w:t>.</w:t>
            </w:r>
            <w:r w:rsidR="008B5A27">
              <w:rPr>
                <w:b w:val="0"/>
                <w:sz w:val="22"/>
                <w:szCs w:val="22"/>
              </w:rPr>
              <w:t xml:space="preserve"> un 12.1.1.</w:t>
            </w:r>
            <w:r w:rsidR="00C5499C">
              <w:rPr>
                <w:b w:val="0"/>
                <w:sz w:val="22"/>
                <w:szCs w:val="22"/>
              </w:rPr>
              <w:t>apakš</w:t>
            </w:r>
            <w:r w:rsidRPr="000D3396">
              <w:rPr>
                <w:b w:val="0"/>
                <w:sz w:val="22"/>
                <w:szCs w:val="22"/>
              </w:rPr>
              <w:t>punktu</w:t>
            </w:r>
            <w:r w:rsidR="008B5A27">
              <w:rPr>
                <w:b w:val="0"/>
                <w:sz w:val="22"/>
                <w:szCs w:val="22"/>
              </w:rPr>
              <w:t>s</w:t>
            </w:r>
            <w:r w:rsidRPr="000D3396">
              <w:rPr>
                <w:b w:val="0"/>
                <w:sz w:val="22"/>
                <w:szCs w:val="22"/>
              </w:rPr>
              <w:t>.</w:t>
            </w:r>
            <w:r w:rsidR="00D41B30" w:rsidRPr="000D339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41B30" w:rsidRPr="00EA19C6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noteikumu projekta īstenošana neietekmē pašvaldības budžetu. </w:t>
            </w:r>
          </w:p>
          <w:p w:rsidR="00D41B30" w:rsidRPr="00656ED7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41B30" w:rsidRPr="0046127F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6477BC" w:rsidRDefault="000D3396" w:rsidP="000D3396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r w:rsidRPr="006477BC">
              <w:rPr>
                <w:sz w:val="22"/>
                <w:szCs w:val="22"/>
              </w:rPr>
              <w:t>mērķgrupa, uz kuru attiecināms saistošo noteikumu tiesiskais regulējums.</w:t>
            </w:r>
          </w:p>
          <w:p w:rsidR="00D41B30" w:rsidRPr="00656ED7" w:rsidRDefault="000D3396" w:rsidP="000D3396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41B30" w:rsidRPr="00EE1879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administrācijā un pagastu pārvaldēs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D41B30" w:rsidRDefault="00D41B30" w:rsidP="00D41B30">
      <w:pPr>
        <w:ind w:right="46"/>
      </w:pPr>
    </w:p>
    <w:p w:rsidR="00D41B30" w:rsidRDefault="00D41B30" w:rsidP="00C66907">
      <w:pPr>
        <w:ind w:left="-284" w:right="46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</w:t>
      </w:r>
      <w:r w:rsidR="00C66907">
        <w:t xml:space="preserve">                               </w:t>
      </w:r>
      <w:r>
        <w:t>M.Švarcs</w:t>
      </w:r>
    </w:p>
    <w:sectPr w:rsidR="00D41B30" w:rsidSect="00A35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02118C"/>
    <w:rsid w:val="000D3396"/>
    <w:rsid w:val="00345D7A"/>
    <w:rsid w:val="003738A6"/>
    <w:rsid w:val="00391FBC"/>
    <w:rsid w:val="004C669B"/>
    <w:rsid w:val="005C6DF8"/>
    <w:rsid w:val="00686A6D"/>
    <w:rsid w:val="007214F4"/>
    <w:rsid w:val="00751571"/>
    <w:rsid w:val="007E3110"/>
    <w:rsid w:val="008B5A27"/>
    <w:rsid w:val="009808FC"/>
    <w:rsid w:val="00A06D74"/>
    <w:rsid w:val="00A35DC7"/>
    <w:rsid w:val="00A84812"/>
    <w:rsid w:val="00B54D4F"/>
    <w:rsid w:val="00C20748"/>
    <w:rsid w:val="00C5499C"/>
    <w:rsid w:val="00C66907"/>
    <w:rsid w:val="00C74CAE"/>
    <w:rsid w:val="00D41B30"/>
    <w:rsid w:val="00DE3D1A"/>
    <w:rsid w:val="00EF0FE4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B487-A967-4C45-AC1C-26AC55E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41B30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41B3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41B30"/>
    <w:pPr>
      <w:spacing w:before="75" w:after="75"/>
    </w:p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dc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5</cp:revision>
  <cp:lastPrinted>2019-09-16T10:03:00Z</cp:lastPrinted>
  <dcterms:created xsi:type="dcterms:W3CDTF">2019-09-16T10:02:00Z</dcterms:created>
  <dcterms:modified xsi:type="dcterms:W3CDTF">2019-09-19T09:27:00Z</dcterms:modified>
</cp:coreProperties>
</file>