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9" w:rsidRPr="007B1088" w:rsidRDefault="00EF2339" w:rsidP="00EF23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F2339" w:rsidRPr="007B1088" w:rsidRDefault="00EF2339" w:rsidP="00EF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par iepirkuma „</w:t>
      </w:r>
      <w:r w:rsidRPr="00EF2339">
        <w:t xml:space="preserve"> 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Pārtikas produktu piegāde Dricānu vidusskolas un pirmsskolas izglītības iestādes vajadzībām 2017.-2018. gadā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</w:p>
    <w:p w:rsidR="00EF2339" w:rsidRPr="007B1088" w:rsidRDefault="00EF2339" w:rsidP="00EF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(identifikācijas Nr. DPP 2017/2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EF2339" w:rsidRPr="007B1088" w:rsidRDefault="00EF2339" w:rsidP="00EF2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REZULTĀTIEM</w:t>
      </w:r>
    </w:p>
    <w:p w:rsidR="00EF2339" w:rsidRDefault="00EF2339" w:rsidP="00EF2339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Rēzeknes novada Dricānu pagastā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F2339" w:rsidRPr="007B1088" w:rsidRDefault="00EF2339" w:rsidP="00EF2339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EF71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2017.gada 8.septembrī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F2339" w:rsidRPr="007578A6" w:rsidRDefault="00EF2339" w:rsidP="00EF23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Pasūtītāja nosaukums, reģistrācijas numurs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Rēzeknes novada pašvaldība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Dricānu pagasta pārvalde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reģ.Nr.90000048538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drese: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Cs/>
          <w:sz w:val="24"/>
          <w:szCs w:val="24"/>
        </w:rPr>
        <w:t>„Pagastmāja”, Dricāni, Dricānu pagasts, Rēzeknes nov., LV-4615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2339" w:rsidRPr="007B1088" w:rsidRDefault="00EF2339" w:rsidP="00EF23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Iepirkuma priekšmets:</w:t>
      </w:r>
      <w:r w:rsidRPr="007578A6">
        <w:t xml:space="preserve"> </w:t>
      </w:r>
      <w:r w:rsidRPr="007578A6">
        <w:rPr>
          <w:rFonts w:ascii="Times New Roman" w:eastAsia="Times New Roman" w:hAnsi="Times New Roman" w:cs="Times New Roman"/>
          <w:bCs/>
          <w:sz w:val="24"/>
          <w:szCs w:val="24"/>
        </w:rPr>
        <w:t>Siltumtrases un katlu mājas pārbūve Dricānu pagasta pārvaldes vajadzībām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F2339" w:rsidRPr="007B1088" w:rsidRDefault="00EF2339" w:rsidP="00EF23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 identifikācijas Nr.: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 2017/2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339" w:rsidRPr="007B1088" w:rsidRDefault="00EF2339" w:rsidP="00EF233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2. Paziņojums par plānoto līgumu publicēts internetā (</w:t>
      </w:r>
      <w:hyperlink r:id="rId7" w:history="1">
        <w:r w:rsidRPr="007B108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0026B">
        <w:rPr>
          <w:rFonts w:ascii="Times New Roman" w:eastAsia="Times New Roman" w:hAnsi="Times New Roman" w:cs="Times New Roman"/>
          <w:b/>
          <w:sz w:val="24"/>
          <w:szCs w:val="24"/>
        </w:rPr>
        <w:t>2017.gada 1.augustā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2339" w:rsidRPr="007B1088" w:rsidRDefault="00EF2339" w:rsidP="00EF2339">
      <w:p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Iepirkuma komisija izveidota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14.11.2011.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 xml:space="preserve">ar pagasta pārvaldes vadītājas rīkojumu Nr.31, </w:t>
      </w:r>
    </w:p>
    <w:p w:rsidR="00EF2339" w:rsidRDefault="00EF2339" w:rsidP="00EF23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Iepirkuma komisijas sastāvs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2339" w:rsidRPr="007578A6" w:rsidRDefault="00EF2339" w:rsidP="00EF23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priekšsēdētāja: Marija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Zahare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pagasta pārvaldes lietvede</w:t>
      </w:r>
    </w:p>
    <w:p w:rsidR="00EF2339" w:rsidRPr="007578A6" w:rsidRDefault="00EF2339" w:rsidP="00EF23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locekļi: 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339" w:rsidRPr="007578A6" w:rsidRDefault="00EF2339" w:rsidP="00EF23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Ināra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Platonova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vidusskolas saimniecības pārzine,</w:t>
      </w:r>
    </w:p>
    <w:p w:rsidR="00EF2339" w:rsidRPr="007578A6" w:rsidRDefault="00EF2339" w:rsidP="00EF23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Biruta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Bikovska</w:t>
      </w:r>
      <w:proofErr w:type="spellEnd"/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pirmsskolas izglītības iestādes vadītāja.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339" w:rsidRPr="007B1088" w:rsidRDefault="00EF2339" w:rsidP="00EF23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>Komisija izveidota ar rīkojumu Nr.31, 14.11.2011.</w:t>
      </w:r>
    </w:p>
    <w:p w:rsidR="00EF2339" w:rsidRPr="00EF2339" w:rsidRDefault="00EF2339" w:rsidP="00EF2339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4.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 kvalifikācijas prasības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339">
        <w:rPr>
          <w:rFonts w:ascii="Times New Roman" w:eastAsia="Times New Roman" w:hAnsi="Times New Roman" w:cs="Times New Roman"/>
          <w:bCs/>
          <w:sz w:val="24"/>
          <w:szCs w:val="24"/>
        </w:rPr>
        <w:t>ir norādītas iepirkuma nolikuma 3. sadaļā „Nosacījumi pretendentu dalībai iepirkumā” un 4. sadaļā “Tehniskais un finanšu piedāvājums”.</w:t>
      </w:r>
    </w:p>
    <w:p w:rsidR="00EF2339" w:rsidRPr="007B1088" w:rsidRDefault="00EF2339" w:rsidP="00EF2339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5. Piedāvājuma izvēles kritērijs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visizdevīgākais 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(piedāvājuma izvēles kritērij</w:t>
      </w:r>
      <w:r>
        <w:rPr>
          <w:rFonts w:ascii="Times New Roman" w:eastAsia="Times New Roman" w:hAnsi="Times New Roman" w:cs="Times New Roman"/>
          <w:sz w:val="24"/>
          <w:szCs w:val="24"/>
        </w:rPr>
        <w:t>s noteikts iepirkuma nolikuma 5.sadaļā „Piedāvājumu vērtēšanas kārtība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”). </w:t>
      </w:r>
    </w:p>
    <w:p w:rsidR="00EF2339" w:rsidRPr="007B1088" w:rsidRDefault="00EF2339" w:rsidP="00EF233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6. Piedāvājumu iesniegšanas termiņš: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2017.gada 18.augusts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plkst.10-00. </w:t>
      </w:r>
    </w:p>
    <w:p w:rsidR="00EF2339" w:rsidRPr="007B1088" w:rsidRDefault="00EF2339" w:rsidP="00EF2339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7. Piedāvājumu atvēršanas vieta, datums un laiks: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„Pagastmāja”, Dricāni, Dricānu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pagasts, Rēzeknes nov., 2017.gada 18.augustā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plkst.10-00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26B" w:rsidRDefault="00EF2339" w:rsidP="004D41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8.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Saņemtie piedāvājumi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26B" w:rsidRDefault="00A0026B" w:rsidP="00EF233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2410"/>
        <w:gridCol w:w="2552"/>
      </w:tblGrid>
      <w:tr w:rsidR="007E32A9" w:rsidRPr="00A0026B" w:rsidTr="007E32A9">
        <w:trPr>
          <w:trHeight w:val="20"/>
        </w:trPr>
        <w:tc>
          <w:tcPr>
            <w:tcW w:w="3543" w:type="dxa"/>
          </w:tcPr>
          <w:p w:rsidR="007E32A9" w:rsidRPr="00A0026B" w:rsidRDefault="007E32A9" w:rsidP="00A0026B">
            <w:pPr>
              <w:rPr>
                <w:b/>
              </w:rPr>
            </w:pPr>
            <w:r w:rsidRPr="00A0026B">
              <w:rPr>
                <w:b/>
              </w:rPr>
              <w:t>Pretendenta nosaukums</w:t>
            </w:r>
            <w:r>
              <w:rPr>
                <w:b/>
              </w:rPr>
              <w:t>, reģistrācijas Nr.</w:t>
            </w:r>
          </w:p>
        </w:tc>
        <w:tc>
          <w:tcPr>
            <w:tcW w:w="2410" w:type="dxa"/>
          </w:tcPr>
          <w:p w:rsidR="007E32A9" w:rsidRPr="00A0026B" w:rsidRDefault="007E32A9" w:rsidP="00A0026B">
            <w:pPr>
              <w:rPr>
                <w:b/>
              </w:rPr>
            </w:pPr>
            <w:r w:rsidRPr="00A0026B">
              <w:rPr>
                <w:b/>
              </w:rPr>
              <w:t>Piedāvājuma apraksts (iepirkuma daļas Nr.)</w:t>
            </w:r>
          </w:p>
        </w:tc>
        <w:tc>
          <w:tcPr>
            <w:tcW w:w="2552" w:type="dxa"/>
          </w:tcPr>
          <w:p w:rsidR="007E32A9" w:rsidRPr="00A0026B" w:rsidRDefault="007E32A9" w:rsidP="00A0026B">
            <w:pPr>
              <w:rPr>
                <w:b/>
              </w:rPr>
            </w:pPr>
            <w:r w:rsidRPr="00A0026B">
              <w:rPr>
                <w:b/>
              </w:rPr>
              <w:t xml:space="preserve">Piedāvājuma cena </w:t>
            </w:r>
          </w:p>
          <w:p w:rsidR="007E32A9" w:rsidRPr="00A0026B" w:rsidRDefault="007E32A9" w:rsidP="00A0026B">
            <w:pPr>
              <w:rPr>
                <w:b/>
              </w:rPr>
            </w:pPr>
            <w:r w:rsidRPr="00A0026B">
              <w:rPr>
                <w:b/>
              </w:rPr>
              <w:t>EUR (bez PVN)</w:t>
            </w:r>
          </w:p>
        </w:tc>
      </w:tr>
      <w:tr w:rsidR="007E32A9" w:rsidRPr="00A0026B" w:rsidTr="007E32A9">
        <w:trPr>
          <w:trHeight w:val="2326"/>
        </w:trPr>
        <w:tc>
          <w:tcPr>
            <w:tcW w:w="3543" w:type="dxa"/>
          </w:tcPr>
          <w:p w:rsidR="007E32A9" w:rsidRDefault="007E32A9" w:rsidP="00A0026B">
            <w:r w:rsidRPr="00A0026B">
              <w:t>SIA ‘Marijas centrs”</w:t>
            </w:r>
            <w:r>
              <w:t xml:space="preserve">, </w:t>
            </w:r>
          </w:p>
          <w:p w:rsidR="007E32A9" w:rsidRPr="00A0026B" w:rsidRDefault="007E32A9" w:rsidP="00A0026B">
            <w:proofErr w:type="spellStart"/>
            <w:r>
              <w:t>reģ</w:t>
            </w:r>
            <w:proofErr w:type="spellEnd"/>
            <w:r>
              <w:t>. Nr.42403007447</w:t>
            </w:r>
          </w:p>
        </w:tc>
        <w:tc>
          <w:tcPr>
            <w:tcW w:w="2410" w:type="dxa"/>
          </w:tcPr>
          <w:p w:rsidR="007E32A9" w:rsidRPr="00A0026B" w:rsidRDefault="007E32A9" w:rsidP="00A0026B">
            <w:r w:rsidRPr="00A0026B">
              <w:t>Nr.2</w:t>
            </w:r>
          </w:p>
          <w:p w:rsidR="007E32A9" w:rsidRPr="00A0026B" w:rsidRDefault="007E32A9" w:rsidP="00A0026B">
            <w:r w:rsidRPr="00A0026B">
              <w:t>Nr.6</w:t>
            </w:r>
          </w:p>
          <w:p w:rsidR="007E32A9" w:rsidRPr="00A0026B" w:rsidRDefault="007E32A9" w:rsidP="00A0026B">
            <w:r w:rsidRPr="00A0026B">
              <w:t>Nr.7</w:t>
            </w:r>
          </w:p>
          <w:p w:rsidR="007E32A9" w:rsidRPr="00A0026B" w:rsidRDefault="007E32A9" w:rsidP="00A0026B">
            <w:r w:rsidRPr="00A0026B">
              <w:t>Nr.8</w:t>
            </w:r>
          </w:p>
          <w:p w:rsidR="007E32A9" w:rsidRPr="00A0026B" w:rsidRDefault="007E32A9" w:rsidP="00A0026B">
            <w:r w:rsidRPr="00A0026B">
              <w:t>Nr.9</w:t>
            </w:r>
          </w:p>
          <w:p w:rsidR="007E32A9" w:rsidRPr="00A0026B" w:rsidRDefault="007E32A9" w:rsidP="00A0026B">
            <w:r w:rsidRPr="00A0026B">
              <w:t>Nr.10</w:t>
            </w:r>
          </w:p>
          <w:p w:rsidR="007E32A9" w:rsidRPr="00A0026B" w:rsidRDefault="007E32A9" w:rsidP="00A0026B">
            <w:r w:rsidRPr="00A0026B">
              <w:t>Nr.11</w:t>
            </w:r>
          </w:p>
          <w:p w:rsidR="007E32A9" w:rsidRPr="00A0026B" w:rsidRDefault="007E32A9" w:rsidP="00A0026B">
            <w:r w:rsidRPr="00A0026B">
              <w:t>Nr.12</w:t>
            </w:r>
          </w:p>
        </w:tc>
        <w:tc>
          <w:tcPr>
            <w:tcW w:w="2552" w:type="dxa"/>
          </w:tcPr>
          <w:p w:rsidR="007E32A9" w:rsidRPr="00A0026B" w:rsidRDefault="007E32A9" w:rsidP="00A0026B">
            <w:r w:rsidRPr="00A0026B">
              <w:t>272,80</w:t>
            </w:r>
          </w:p>
          <w:p w:rsidR="007E32A9" w:rsidRPr="00A0026B" w:rsidRDefault="007E32A9" w:rsidP="00A0026B">
            <w:r w:rsidRPr="00A0026B">
              <w:t>2636,91</w:t>
            </w:r>
          </w:p>
          <w:p w:rsidR="007E32A9" w:rsidRPr="00A0026B" w:rsidRDefault="007E32A9" w:rsidP="00A0026B">
            <w:r w:rsidRPr="00A0026B">
              <w:t>1131,00</w:t>
            </w:r>
          </w:p>
          <w:p w:rsidR="007E32A9" w:rsidRPr="00A0026B" w:rsidRDefault="007E32A9" w:rsidP="00A0026B">
            <w:r w:rsidRPr="00A0026B">
              <w:t>915,92</w:t>
            </w:r>
          </w:p>
          <w:p w:rsidR="007E32A9" w:rsidRPr="00A0026B" w:rsidRDefault="007E32A9" w:rsidP="00A0026B">
            <w:r w:rsidRPr="00A0026B">
              <w:t>637,55</w:t>
            </w:r>
          </w:p>
          <w:p w:rsidR="007E32A9" w:rsidRPr="00A0026B" w:rsidRDefault="007E32A9" w:rsidP="00A0026B">
            <w:r w:rsidRPr="00A0026B">
              <w:t>1299,70</w:t>
            </w:r>
          </w:p>
          <w:p w:rsidR="007E32A9" w:rsidRPr="00A0026B" w:rsidRDefault="007E32A9" w:rsidP="00A0026B">
            <w:r w:rsidRPr="00A0026B">
              <w:t>584,10</w:t>
            </w:r>
          </w:p>
          <w:p w:rsidR="007E32A9" w:rsidRPr="00A0026B" w:rsidRDefault="007E32A9" w:rsidP="00A0026B">
            <w:r w:rsidRPr="00A0026B">
              <w:t>455,40</w:t>
            </w:r>
          </w:p>
        </w:tc>
      </w:tr>
      <w:tr w:rsidR="007E32A9" w:rsidRPr="00A0026B" w:rsidTr="007E32A9">
        <w:trPr>
          <w:trHeight w:val="20"/>
        </w:trPr>
        <w:tc>
          <w:tcPr>
            <w:tcW w:w="3543" w:type="dxa"/>
          </w:tcPr>
          <w:p w:rsidR="007E32A9" w:rsidRDefault="007E32A9" w:rsidP="00A0026B">
            <w:r w:rsidRPr="00A0026B">
              <w:t>SIA „</w:t>
            </w:r>
            <w:proofErr w:type="spellStart"/>
            <w:r w:rsidRPr="00A0026B">
              <w:t>Kabuleti</w:t>
            </w:r>
            <w:proofErr w:type="spellEnd"/>
            <w:r w:rsidRPr="00A0026B">
              <w:t xml:space="preserve"> Fruit”</w:t>
            </w:r>
            <w:r>
              <w:t>,</w:t>
            </w:r>
          </w:p>
          <w:p w:rsidR="007E32A9" w:rsidRPr="00A0026B" w:rsidRDefault="007E32A9" w:rsidP="00A0026B">
            <w:proofErr w:type="spellStart"/>
            <w:r>
              <w:t>reģ</w:t>
            </w:r>
            <w:proofErr w:type="spellEnd"/>
            <w:r>
              <w:t>. Nr.40003959814</w:t>
            </w:r>
          </w:p>
        </w:tc>
        <w:tc>
          <w:tcPr>
            <w:tcW w:w="2410" w:type="dxa"/>
          </w:tcPr>
          <w:p w:rsidR="007E32A9" w:rsidRPr="00A0026B" w:rsidRDefault="007E32A9" w:rsidP="00A0026B">
            <w:r w:rsidRPr="00A0026B">
              <w:t>Nr.2</w:t>
            </w:r>
          </w:p>
          <w:p w:rsidR="007E32A9" w:rsidRPr="00A0026B" w:rsidRDefault="007E32A9" w:rsidP="00A0026B">
            <w:r w:rsidRPr="00A0026B">
              <w:t>Nr.6</w:t>
            </w:r>
          </w:p>
          <w:p w:rsidR="007E32A9" w:rsidRPr="00A0026B" w:rsidRDefault="007E32A9" w:rsidP="00A0026B">
            <w:r w:rsidRPr="00A0026B">
              <w:t>Nr.7</w:t>
            </w:r>
          </w:p>
          <w:p w:rsidR="007E32A9" w:rsidRPr="00A0026B" w:rsidRDefault="007E32A9" w:rsidP="00A0026B">
            <w:r w:rsidRPr="00A0026B">
              <w:t>Nr.8</w:t>
            </w:r>
          </w:p>
          <w:p w:rsidR="007E32A9" w:rsidRPr="00A0026B" w:rsidRDefault="007E32A9" w:rsidP="00A0026B">
            <w:r w:rsidRPr="00A0026B">
              <w:t>Nr.9</w:t>
            </w:r>
          </w:p>
          <w:p w:rsidR="007E32A9" w:rsidRPr="00A0026B" w:rsidRDefault="007E32A9" w:rsidP="00A0026B">
            <w:r w:rsidRPr="00A0026B">
              <w:t>Nr.10</w:t>
            </w:r>
          </w:p>
          <w:p w:rsidR="007E32A9" w:rsidRPr="00A0026B" w:rsidRDefault="007E32A9" w:rsidP="00A0026B">
            <w:r w:rsidRPr="00A0026B">
              <w:t>Nr.11</w:t>
            </w:r>
          </w:p>
          <w:p w:rsidR="007E32A9" w:rsidRPr="00A0026B" w:rsidRDefault="007E32A9" w:rsidP="00A0026B">
            <w:r w:rsidRPr="00A0026B">
              <w:lastRenderedPageBreak/>
              <w:t>Nr.12</w:t>
            </w:r>
          </w:p>
        </w:tc>
        <w:tc>
          <w:tcPr>
            <w:tcW w:w="2552" w:type="dxa"/>
          </w:tcPr>
          <w:p w:rsidR="007E32A9" w:rsidRPr="00A0026B" w:rsidRDefault="007E32A9" w:rsidP="00A0026B">
            <w:r w:rsidRPr="00A0026B">
              <w:lastRenderedPageBreak/>
              <w:t>308,00</w:t>
            </w:r>
          </w:p>
          <w:p w:rsidR="007E32A9" w:rsidRPr="00A0026B" w:rsidRDefault="007E32A9" w:rsidP="00A0026B">
            <w:r w:rsidRPr="00A0026B">
              <w:t>2802,29</w:t>
            </w:r>
          </w:p>
          <w:p w:rsidR="007E32A9" w:rsidRPr="00A0026B" w:rsidRDefault="007E32A9" w:rsidP="00A0026B">
            <w:r w:rsidRPr="00A0026B">
              <w:t>663,00</w:t>
            </w:r>
          </w:p>
          <w:p w:rsidR="007E32A9" w:rsidRPr="00A0026B" w:rsidRDefault="007E32A9" w:rsidP="00A0026B">
            <w:r w:rsidRPr="00A0026B">
              <w:t>509,49</w:t>
            </w:r>
          </w:p>
          <w:p w:rsidR="007E32A9" w:rsidRPr="00A0026B" w:rsidRDefault="007E32A9" w:rsidP="00A0026B">
            <w:r w:rsidRPr="00A0026B">
              <w:t>384,25</w:t>
            </w:r>
          </w:p>
          <w:p w:rsidR="007E32A9" w:rsidRPr="00A0026B" w:rsidRDefault="007E32A9" w:rsidP="00A0026B">
            <w:r w:rsidRPr="00A0026B">
              <w:t>892,10</w:t>
            </w:r>
          </w:p>
          <w:p w:rsidR="007E32A9" w:rsidRPr="00A0026B" w:rsidRDefault="007E32A9" w:rsidP="00A0026B">
            <w:r w:rsidRPr="00A0026B">
              <w:t>386,10</w:t>
            </w:r>
          </w:p>
          <w:p w:rsidR="007E32A9" w:rsidRPr="00A0026B" w:rsidRDefault="007E32A9" w:rsidP="00A0026B">
            <w:r w:rsidRPr="00A0026B">
              <w:lastRenderedPageBreak/>
              <w:t>299,00</w:t>
            </w:r>
          </w:p>
        </w:tc>
      </w:tr>
      <w:tr w:rsidR="007E32A9" w:rsidRPr="00A0026B" w:rsidTr="007E32A9">
        <w:tc>
          <w:tcPr>
            <w:tcW w:w="3543" w:type="dxa"/>
          </w:tcPr>
          <w:p w:rsidR="007E32A9" w:rsidRDefault="007E32A9" w:rsidP="00A0026B">
            <w:r w:rsidRPr="00A0026B">
              <w:lastRenderedPageBreak/>
              <w:t>A/S “Rankas piens”</w:t>
            </w:r>
            <w:r>
              <w:t>,</w:t>
            </w:r>
          </w:p>
          <w:p w:rsidR="007E32A9" w:rsidRPr="00A0026B" w:rsidRDefault="007E32A9" w:rsidP="00A0026B">
            <w:proofErr w:type="spellStart"/>
            <w:r>
              <w:t>reģ</w:t>
            </w:r>
            <w:proofErr w:type="spellEnd"/>
            <w:r>
              <w:t>. Nr.44603001356</w:t>
            </w:r>
          </w:p>
        </w:tc>
        <w:tc>
          <w:tcPr>
            <w:tcW w:w="2410" w:type="dxa"/>
          </w:tcPr>
          <w:p w:rsidR="007E32A9" w:rsidRPr="00A0026B" w:rsidRDefault="007E32A9" w:rsidP="00A0026B">
            <w:r w:rsidRPr="00A0026B">
              <w:t>Nr.3</w:t>
            </w:r>
          </w:p>
          <w:p w:rsidR="007E32A9" w:rsidRPr="00A0026B" w:rsidRDefault="007E32A9" w:rsidP="00A0026B">
            <w:r w:rsidRPr="00A0026B">
              <w:t>Nr.4</w:t>
            </w:r>
          </w:p>
        </w:tc>
        <w:tc>
          <w:tcPr>
            <w:tcW w:w="2552" w:type="dxa"/>
          </w:tcPr>
          <w:p w:rsidR="007E32A9" w:rsidRPr="00A0026B" w:rsidRDefault="007E32A9" w:rsidP="00A0026B">
            <w:r w:rsidRPr="00A0026B">
              <w:t>966,00</w:t>
            </w:r>
          </w:p>
          <w:p w:rsidR="007E32A9" w:rsidRPr="00A0026B" w:rsidRDefault="007E32A9" w:rsidP="00A0026B">
            <w:r w:rsidRPr="00A0026B">
              <w:t>5713,90</w:t>
            </w:r>
          </w:p>
        </w:tc>
      </w:tr>
      <w:tr w:rsidR="007E32A9" w:rsidRPr="00A0026B" w:rsidTr="007E32A9">
        <w:tc>
          <w:tcPr>
            <w:tcW w:w="3543" w:type="dxa"/>
          </w:tcPr>
          <w:p w:rsidR="007E32A9" w:rsidRDefault="007E32A9" w:rsidP="00A0026B">
            <w:r w:rsidRPr="00A0026B">
              <w:t>SIA „Rēzeknes gaļas kombināts”</w:t>
            </w:r>
            <w:r>
              <w:t>,</w:t>
            </w:r>
          </w:p>
          <w:p w:rsidR="007E32A9" w:rsidRPr="00A0026B" w:rsidRDefault="007E32A9" w:rsidP="00A0026B">
            <w:proofErr w:type="spellStart"/>
            <w:r>
              <w:t>reģ</w:t>
            </w:r>
            <w:proofErr w:type="spellEnd"/>
            <w:r>
              <w:t>. Nr.42403012397</w:t>
            </w:r>
          </w:p>
        </w:tc>
        <w:tc>
          <w:tcPr>
            <w:tcW w:w="2410" w:type="dxa"/>
          </w:tcPr>
          <w:p w:rsidR="007E32A9" w:rsidRPr="00A0026B" w:rsidRDefault="007E32A9" w:rsidP="00A0026B">
            <w:r w:rsidRPr="00A0026B">
              <w:t>Nr.1</w:t>
            </w:r>
          </w:p>
        </w:tc>
        <w:tc>
          <w:tcPr>
            <w:tcW w:w="2552" w:type="dxa"/>
          </w:tcPr>
          <w:p w:rsidR="007E32A9" w:rsidRPr="00A0026B" w:rsidRDefault="007E32A9" w:rsidP="00A0026B">
            <w:r w:rsidRPr="00A0026B">
              <w:t>6231,98</w:t>
            </w:r>
          </w:p>
        </w:tc>
      </w:tr>
      <w:tr w:rsidR="007E32A9" w:rsidRPr="00A0026B" w:rsidTr="007E32A9">
        <w:trPr>
          <w:trHeight w:val="475"/>
        </w:trPr>
        <w:tc>
          <w:tcPr>
            <w:tcW w:w="3543" w:type="dxa"/>
          </w:tcPr>
          <w:p w:rsidR="007E32A9" w:rsidRDefault="007E32A9" w:rsidP="00A0026B">
            <w:r w:rsidRPr="00A0026B">
              <w:t>SIA „Vecā maiznīca”</w:t>
            </w:r>
            <w:r>
              <w:t>,</w:t>
            </w:r>
          </w:p>
          <w:p w:rsidR="007E32A9" w:rsidRPr="00A0026B" w:rsidRDefault="007E32A9" w:rsidP="00A0026B">
            <w:proofErr w:type="spellStart"/>
            <w:r>
              <w:t>Reģ</w:t>
            </w:r>
            <w:proofErr w:type="spellEnd"/>
            <w:r>
              <w:t>. Nr.42403007589</w:t>
            </w:r>
          </w:p>
        </w:tc>
        <w:tc>
          <w:tcPr>
            <w:tcW w:w="2410" w:type="dxa"/>
          </w:tcPr>
          <w:p w:rsidR="007E32A9" w:rsidRPr="00A0026B" w:rsidRDefault="007E32A9" w:rsidP="00A0026B">
            <w:r w:rsidRPr="00A0026B">
              <w:t>Nr.5</w:t>
            </w:r>
          </w:p>
          <w:p w:rsidR="007E32A9" w:rsidRPr="00A0026B" w:rsidRDefault="007E32A9" w:rsidP="00A0026B"/>
        </w:tc>
        <w:tc>
          <w:tcPr>
            <w:tcW w:w="2552" w:type="dxa"/>
          </w:tcPr>
          <w:p w:rsidR="007E32A9" w:rsidRPr="00A0026B" w:rsidRDefault="007E32A9" w:rsidP="00A0026B">
            <w:r w:rsidRPr="00A0026B">
              <w:t>2601,00</w:t>
            </w:r>
          </w:p>
        </w:tc>
      </w:tr>
    </w:tbl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026B">
        <w:rPr>
          <w:rFonts w:ascii="Times New Roman" w:eastAsia="Times New Roman" w:hAnsi="Times New Roman" w:cs="Times New Roman"/>
          <w:b/>
          <w:sz w:val="24"/>
          <w:szCs w:val="24"/>
        </w:rPr>
        <w:t>Iepirkuma priekšmets sadalīts 12 (divpadsmit) daļās: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Gaļa un gaļas produkti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Ilglaicīgai glabāšanai sagatavotas zivis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Piens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Piena produkti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 xml:space="preserve">Maize, mīklas izstrādājumi un </w:t>
      </w:r>
      <w:proofErr w:type="spellStart"/>
      <w:r w:rsidRPr="00A0026B">
        <w:rPr>
          <w:rFonts w:ascii="Times New Roman" w:eastAsia="Times New Roman" w:hAnsi="Times New Roman" w:cs="Times New Roman"/>
          <w:sz w:val="24"/>
          <w:szCs w:val="24"/>
        </w:rPr>
        <w:t>konditorija</w:t>
      </w:r>
      <w:proofErr w:type="spellEnd"/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026B">
        <w:rPr>
          <w:rFonts w:ascii="Times New Roman" w:eastAsia="Times New Roman" w:hAnsi="Times New Roman" w:cs="Times New Roman"/>
          <w:sz w:val="24"/>
          <w:szCs w:val="24"/>
        </w:rPr>
        <w:t>Bakaleja</w:t>
      </w:r>
      <w:proofErr w:type="spellEnd"/>
      <w:r w:rsidRPr="00A0026B">
        <w:rPr>
          <w:rFonts w:ascii="Times New Roman" w:eastAsia="Times New Roman" w:hAnsi="Times New Roman" w:cs="Times New Roman"/>
          <w:sz w:val="24"/>
          <w:szCs w:val="24"/>
        </w:rPr>
        <w:t xml:space="preserve"> un ilglaicīgai uzglabāšanai apstrādāti un konservēti dārzeņi un augļi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Kartupeļi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Dārzeņi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Svaigi dārzeņi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Eksotiskie svaigie augļi</w:t>
      </w:r>
    </w:p>
    <w:p w:rsidR="00A0026B" w:rsidRP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Āboli</w:t>
      </w:r>
    </w:p>
    <w:p w:rsidR="00A0026B" w:rsidRDefault="00A0026B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Bumbieri</w:t>
      </w:r>
    </w:p>
    <w:p w:rsidR="007D5AFB" w:rsidRPr="004D4120" w:rsidRDefault="007D5AFB" w:rsidP="007D5AFB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4120">
        <w:rPr>
          <w:rFonts w:ascii="Times New Roman" w:eastAsia="Times New Roman" w:hAnsi="Times New Roman" w:cs="Times New Roman"/>
          <w:b/>
          <w:sz w:val="24"/>
          <w:szCs w:val="24"/>
        </w:rPr>
        <w:t>. Pretendents, kura tehniskais piedāvājums atzīts par neatbilstošu iepirkuma nolikumā noteiktajām prasībām un tehniskajai specifikācijai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52"/>
      </w:tblGrid>
      <w:tr w:rsidR="00A371C8" w:rsidRPr="004D4120" w:rsidTr="00A05364">
        <w:tc>
          <w:tcPr>
            <w:tcW w:w="5148" w:type="dxa"/>
          </w:tcPr>
          <w:p w:rsidR="007D5AFB" w:rsidRPr="004D4120" w:rsidRDefault="007D5AFB" w:rsidP="00A0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Pretendenta nosaukums, reģistrācijas numurs</w:t>
            </w:r>
          </w:p>
        </w:tc>
        <w:tc>
          <w:tcPr>
            <w:tcW w:w="5148" w:type="dxa"/>
          </w:tcPr>
          <w:p w:rsidR="007D5AFB" w:rsidRPr="004D4120" w:rsidRDefault="007D5AFB" w:rsidP="00A0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Piedāvājuma noraidīšanas pamats</w:t>
            </w:r>
          </w:p>
        </w:tc>
      </w:tr>
      <w:tr w:rsidR="00414903" w:rsidRPr="00414903" w:rsidTr="00A05364">
        <w:tc>
          <w:tcPr>
            <w:tcW w:w="5148" w:type="dxa"/>
          </w:tcPr>
          <w:p w:rsidR="007E32A9" w:rsidRPr="00414903" w:rsidRDefault="007E32A9" w:rsidP="007E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>Kabuleti</w:t>
            </w:r>
            <w:proofErr w:type="spellEnd"/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Fruit”,</w:t>
            </w:r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>eģ</w:t>
            </w:r>
            <w:proofErr w:type="spellEnd"/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>. Nr.40003959814</w:t>
            </w:r>
          </w:p>
          <w:p w:rsidR="007D5AFB" w:rsidRPr="00414903" w:rsidRDefault="007D5AFB" w:rsidP="007E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7D5AFB" w:rsidRPr="00414903" w:rsidRDefault="007E32A9" w:rsidP="00A3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Iepirkuma daļā Nr.9. „Svaigie dārzeņi” un daļā Nr.10 “Eksotiskie augļi”, nav pievienoti nolikuma punktā 4.3.  noteiktie dokumenti, </w:t>
            </w:r>
            <w:r w:rsidR="00A371C8" w:rsidRPr="00414903">
              <w:rPr>
                <w:rFonts w:ascii="Times New Roman" w:eastAsia="Times New Roman" w:hAnsi="Times New Roman" w:cs="Times New Roman"/>
                <w:sz w:val="24"/>
                <w:szCs w:val="24"/>
              </w:rPr>
              <w:t>kas apliecina produktu atbilstību bioloģiskās lauksaimniecības shēmai (BLS) un lauksaimniecības produktu integrētās audzēšanas (LPIA) prasībām.</w:t>
            </w:r>
          </w:p>
        </w:tc>
      </w:tr>
    </w:tbl>
    <w:p w:rsidR="004D4120" w:rsidRPr="004D4120" w:rsidRDefault="004D4120" w:rsidP="00A002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D4120" w:rsidRPr="004D4120" w:rsidRDefault="004D4120" w:rsidP="004D4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D41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137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10. </w:t>
      </w:r>
      <w:r w:rsidRPr="004D41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Piedāvājumu vērtēšanas kopsavilkums:</w:t>
      </w:r>
    </w:p>
    <w:p w:rsidR="004D4120" w:rsidRDefault="00414903" w:rsidP="004D4120">
      <w:pPr>
        <w:spacing w:after="0" w:line="240" w:lineRule="auto"/>
        <w:contextualSpacing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203"/>
        <w:gridCol w:w="2551"/>
      </w:tblGrid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ind w:firstLine="720"/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 xml:space="preserve">Pretendenta nosaukums 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Iepirkuma daļas Nr.</w:t>
            </w:r>
          </w:p>
        </w:tc>
        <w:tc>
          <w:tcPr>
            <w:tcW w:w="2551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 xml:space="preserve">Kopējais vērtējumā </w:t>
            </w:r>
          </w:p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iegūtais punktu skaits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rPr>
                <w:b/>
              </w:rPr>
            </w:pPr>
            <w:r w:rsidRPr="00414903">
              <w:rPr>
                <w:b/>
              </w:rPr>
              <w:t>SIA „Rēzeknes gaļas kombināts”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1</w:t>
            </w:r>
          </w:p>
        </w:tc>
        <w:tc>
          <w:tcPr>
            <w:tcW w:w="2551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rPr>
                <w:b/>
              </w:rPr>
            </w:pPr>
            <w:r w:rsidRPr="00414903">
              <w:rPr>
                <w:b/>
              </w:rPr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2</w:t>
            </w:r>
          </w:p>
        </w:tc>
        <w:tc>
          <w:tcPr>
            <w:tcW w:w="2551" w:type="dxa"/>
          </w:tcPr>
          <w:p w:rsidR="004D4120" w:rsidRPr="00414903" w:rsidRDefault="00A371C8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7</w:t>
            </w:r>
            <w:r w:rsidR="004D4120" w:rsidRPr="00414903">
              <w:rPr>
                <w:rFonts w:eastAsia="Times New Roman" w:cs="Times New Roman"/>
                <w:b/>
                <w:szCs w:val="24"/>
                <w:lang w:eastAsia="lv-LV"/>
              </w:rPr>
              <w:t>0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t>SIA „</w:t>
            </w:r>
            <w:proofErr w:type="spellStart"/>
            <w:r w:rsidRPr="00414903">
              <w:t>Kabuleti</w:t>
            </w:r>
            <w:proofErr w:type="spellEnd"/>
            <w:r w:rsidRPr="00414903">
              <w:t xml:space="preserve"> Fruit”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551" w:type="dxa"/>
          </w:tcPr>
          <w:p w:rsidR="004D4120" w:rsidRPr="00414903" w:rsidRDefault="00A371C8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44,3</w:t>
            </w:r>
          </w:p>
        </w:tc>
      </w:tr>
      <w:tr w:rsidR="00414903" w:rsidRPr="00414903" w:rsidTr="00414903">
        <w:tc>
          <w:tcPr>
            <w:tcW w:w="3969" w:type="dxa"/>
          </w:tcPr>
          <w:p w:rsidR="00A371C8" w:rsidRPr="00414903" w:rsidRDefault="00674B8B" w:rsidP="00A51662">
            <w:pPr>
              <w:contextualSpacing/>
              <w:rPr>
                <w:b/>
              </w:rPr>
            </w:pPr>
            <w:r w:rsidRPr="00414903">
              <w:rPr>
                <w:b/>
              </w:rPr>
              <w:t>A/S “Rankas piens”,</w:t>
            </w:r>
          </w:p>
        </w:tc>
        <w:tc>
          <w:tcPr>
            <w:tcW w:w="964" w:type="dxa"/>
          </w:tcPr>
          <w:p w:rsidR="00A371C8" w:rsidRPr="00414903" w:rsidRDefault="00674B8B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2551" w:type="dxa"/>
          </w:tcPr>
          <w:p w:rsidR="00A371C8" w:rsidRPr="00414903" w:rsidRDefault="00674B8B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70</w:t>
            </w:r>
          </w:p>
        </w:tc>
      </w:tr>
      <w:tr w:rsidR="00414903" w:rsidRPr="00414903" w:rsidTr="00414903">
        <w:tc>
          <w:tcPr>
            <w:tcW w:w="3969" w:type="dxa"/>
          </w:tcPr>
          <w:p w:rsidR="00A371C8" w:rsidRPr="00414903" w:rsidRDefault="00674B8B" w:rsidP="00A51662">
            <w:pPr>
              <w:contextualSpacing/>
              <w:rPr>
                <w:b/>
              </w:rPr>
            </w:pPr>
            <w:r w:rsidRPr="00414903">
              <w:rPr>
                <w:b/>
              </w:rPr>
              <w:t>A/S “Rankas piens”,</w:t>
            </w:r>
          </w:p>
        </w:tc>
        <w:tc>
          <w:tcPr>
            <w:tcW w:w="964" w:type="dxa"/>
          </w:tcPr>
          <w:p w:rsidR="00A371C8" w:rsidRPr="00414903" w:rsidRDefault="00674B8B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2551" w:type="dxa"/>
          </w:tcPr>
          <w:p w:rsidR="00A371C8" w:rsidRPr="00414903" w:rsidRDefault="00674B8B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70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rPr>
                <w:b/>
              </w:rPr>
            </w:pPr>
            <w:r w:rsidRPr="00414903">
              <w:rPr>
                <w:b/>
              </w:rPr>
              <w:t>SIA „Vecā maiznīca”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5</w:t>
            </w:r>
          </w:p>
        </w:tc>
        <w:tc>
          <w:tcPr>
            <w:tcW w:w="2551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rPr>
                <w:b/>
              </w:rPr>
            </w:pPr>
            <w:r w:rsidRPr="00414903">
              <w:rPr>
                <w:b/>
              </w:rPr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6</w:t>
            </w:r>
          </w:p>
        </w:tc>
        <w:tc>
          <w:tcPr>
            <w:tcW w:w="2551" w:type="dxa"/>
          </w:tcPr>
          <w:p w:rsidR="004D4120" w:rsidRPr="00414903" w:rsidRDefault="00674B8B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83,6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t>SIA „</w:t>
            </w:r>
            <w:proofErr w:type="spellStart"/>
            <w:r w:rsidRPr="00414903">
              <w:t>Kabuleti</w:t>
            </w:r>
            <w:proofErr w:type="spellEnd"/>
            <w:r w:rsidRPr="00414903">
              <w:t xml:space="preserve"> Fruit”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2551" w:type="dxa"/>
          </w:tcPr>
          <w:p w:rsidR="004D4120" w:rsidRPr="00414903" w:rsidRDefault="00674B8B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62,1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r w:rsidRPr="00414903"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2551" w:type="dxa"/>
          </w:tcPr>
          <w:p w:rsidR="004D4120" w:rsidRPr="00414903" w:rsidRDefault="00867314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64,3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b/>
              </w:rPr>
              <w:t>SIA „</w:t>
            </w:r>
            <w:proofErr w:type="spellStart"/>
            <w:r w:rsidRPr="00414903">
              <w:rPr>
                <w:b/>
              </w:rPr>
              <w:t>Kabuleti</w:t>
            </w:r>
            <w:proofErr w:type="spellEnd"/>
            <w:r w:rsidRPr="00414903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:rsidR="004D4120" w:rsidRPr="00D84CD9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D84CD9">
              <w:rPr>
                <w:rFonts w:eastAsia="Times New Roman" w:cs="Times New Roman"/>
                <w:b/>
                <w:szCs w:val="24"/>
                <w:lang w:eastAsia="lv-LV"/>
              </w:rPr>
              <w:t>7</w:t>
            </w:r>
          </w:p>
        </w:tc>
        <w:tc>
          <w:tcPr>
            <w:tcW w:w="2551" w:type="dxa"/>
          </w:tcPr>
          <w:p w:rsidR="004D4120" w:rsidRPr="00D84CD9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D84CD9">
              <w:rPr>
                <w:rFonts w:eastAsia="Times New Roman" w:cs="Times New Roman"/>
                <w:b/>
                <w:szCs w:val="24"/>
                <w:lang w:eastAsia="lv-LV"/>
              </w:rPr>
              <w:t>65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r w:rsidRPr="00414903"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551" w:type="dxa"/>
          </w:tcPr>
          <w:p w:rsidR="004D4120" w:rsidRPr="00414903" w:rsidRDefault="00867314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62,8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b/>
              </w:rPr>
              <w:t>SIA „</w:t>
            </w:r>
            <w:proofErr w:type="spellStart"/>
            <w:r w:rsidRPr="00414903">
              <w:rPr>
                <w:b/>
              </w:rPr>
              <w:t>Kabuleti</w:t>
            </w:r>
            <w:proofErr w:type="spellEnd"/>
            <w:r w:rsidRPr="00414903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</w:t>
            </w:r>
          </w:p>
        </w:tc>
        <w:tc>
          <w:tcPr>
            <w:tcW w:w="2551" w:type="dxa"/>
          </w:tcPr>
          <w:p w:rsidR="004D4120" w:rsidRPr="00414903" w:rsidRDefault="00867314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65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rPr>
                <w:b/>
              </w:rPr>
            </w:pPr>
            <w:r w:rsidRPr="00414903">
              <w:rPr>
                <w:b/>
              </w:rPr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9</w:t>
            </w:r>
          </w:p>
        </w:tc>
        <w:tc>
          <w:tcPr>
            <w:tcW w:w="2551" w:type="dxa"/>
          </w:tcPr>
          <w:p w:rsidR="004D4120" w:rsidRPr="00414903" w:rsidRDefault="00867314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70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rPr>
                <w:b/>
              </w:rPr>
            </w:pPr>
            <w:r w:rsidRPr="00414903">
              <w:rPr>
                <w:b/>
              </w:rPr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10</w:t>
            </w:r>
          </w:p>
        </w:tc>
        <w:tc>
          <w:tcPr>
            <w:tcW w:w="2551" w:type="dxa"/>
          </w:tcPr>
          <w:p w:rsidR="004D4120" w:rsidRPr="00414903" w:rsidRDefault="00867314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70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r w:rsidRPr="00414903">
              <w:lastRenderedPageBreak/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2551" w:type="dxa"/>
          </w:tcPr>
          <w:p w:rsidR="004D4120" w:rsidRPr="00414903" w:rsidRDefault="00414903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53,1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b/>
              </w:rPr>
              <w:t>SIA „</w:t>
            </w:r>
            <w:proofErr w:type="spellStart"/>
            <w:r w:rsidRPr="00414903">
              <w:rPr>
                <w:b/>
              </w:rPr>
              <w:t>Kabuleti</w:t>
            </w:r>
            <w:proofErr w:type="spellEnd"/>
            <w:r w:rsidRPr="00414903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11</w:t>
            </w:r>
          </w:p>
        </w:tc>
        <w:tc>
          <w:tcPr>
            <w:tcW w:w="2551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65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r w:rsidRPr="00414903">
              <w:t>SIA „Marijas centrs”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12</w:t>
            </w:r>
          </w:p>
        </w:tc>
        <w:tc>
          <w:tcPr>
            <w:tcW w:w="2551" w:type="dxa"/>
          </w:tcPr>
          <w:p w:rsidR="004D4120" w:rsidRPr="00414903" w:rsidRDefault="00414903" w:rsidP="00A51662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52,8</w:t>
            </w:r>
          </w:p>
        </w:tc>
      </w:tr>
      <w:tr w:rsidR="00414903" w:rsidRPr="00414903" w:rsidTr="00414903">
        <w:tc>
          <w:tcPr>
            <w:tcW w:w="3969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b/>
              </w:rPr>
              <w:t>SIA „</w:t>
            </w:r>
            <w:proofErr w:type="spellStart"/>
            <w:r w:rsidRPr="00414903">
              <w:rPr>
                <w:b/>
              </w:rPr>
              <w:t>Kabuleti</w:t>
            </w:r>
            <w:proofErr w:type="spellEnd"/>
            <w:r w:rsidRPr="00414903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:rsidR="004D4120" w:rsidRPr="00414903" w:rsidRDefault="004D4120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12</w:t>
            </w:r>
          </w:p>
        </w:tc>
        <w:tc>
          <w:tcPr>
            <w:tcW w:w="2551" w:type="dxa"/>
          </w:tcPr>
          <w:p w:rsidR="004D4120" w:rsidRPr="00414903" w:rsidRDefault="00414903" w:rsidP="00A51662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65</w:t>
            </w:r>
          </w:p>
        </w:tc>
      </w:tr>
    </w:tbl>
    <w:p w:rsidR="004D4120" w:rsidRPr="007B1088" w:rsidRDefault="004D4120" w:rsidP="004D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39" w:rsidRDefault="00A13750" w:rsidP="00EF2339">
      <w:p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D4120">
        <w:rPr>
          <w:rFonts w:ascii="Times New Roman" w:eastAsia="Times New Roman" w:hAnsi="Times New Roman" w:cs="Times New Roman"/>
          <w:b/>
          <w:bCs/>
          <w:sz w:val="24"/>
          <w:szCs w:val="24"/>
        </w:rPr>
        <w:t>. Pretendenti, ar kuriem</w:t>
      </w:r>
      <w:r w:rsidR="00EF2339"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nolemts slēgt līgumu „</w:t>
      </w:r>
      <w:r w:rsidR="00A0026B"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Pārtikas produktu piegāde Dricānu vidusskolas un pirmsskolas izglītības iestādes vajadzībām 2017.-2018. gadā</w:t>
      </w:r>
      <w:r w:rsidR="00EF2339"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EF2339" w:rsidRPr="007B10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13750" w:rsidRDefault="00A13750" w:rsidP="00EF2339">
      <w:p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120" w:rsidRPr="004D4120" w:rsidRDefault="004D4120" w:rsidP="004D41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Gaļa un gaļas produkti - </w:t>
      </w:r>
      <w:r w:rsidRPr="004D4120">
        <w:rPr>
          <w:rFonts w:ascii="Times New Roman" w:hAnsi="Times New Roman" w:cs="Times New Roman"/>
          <w:sz w:val="24"/>
          <w:szCs w:val="24"/>
        </w:rPr>
        <w:t>SIA „Rēzekn</w:t>
      </w:r>
      <w:r w:rsidR="00414903">
        <w:rPr>
          <w:rFonts w:ascii="Times New Roman" w:hAnsi="Times New Roman" w:cs="Times New Roman"/>
          <w:sz w:val="24"/>
          <w:szCs w:val="24"/>
        </w:rPr>
        <w:t>es gaļas kombināts”- EUR 6231,98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4D4120" w:rsidRDefault="004D4120" w:rsidP="004D41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Ilglaicīgai glabāšanai sagatavotas zivis- </w:t>
      </w:r>
      <w:r w:rsidR="00414903">
        <w:rPr>
          <w:rFonts w:ascii="Times New Roman" w:hAnsi="Times New Roman" w:cs="Times New Roman"/>
          <w:sz w:val="24"/>
          <w:szCs w:val="24"/>
        </w:rPr>
        <w:t>SIA „Marijas centrs”- EUR 272,80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4D4120" w:rsidRDefault="004D4120" w:rsidP="004D41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Piens – SIA “Rankas piens”- </w:t>
      </w:r>
      <w:r w:rsidR="00414903">
        <w:rPr>
          <w:rFonts w:ascii="Times New Roman" w:hAnsi="Times New Roman" w:cs="Times New Roman"/>
          <w:sz w:val="24"/>
          <w:szCs w:val="24"/>
        </w:rPr>
        <w:t>EUR 966,00;</w:t>
      </w:r>
    </w:p>
    <w:p w:rsidR="004D4120" w:rsidRPr="004D4120" w:rsidRDefault="004D4120" w:rsidP="004D4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Piena produkti- SIA “Rankas piens”-</w:t>
      </w:r>
      <w:r w:rsidR="00414903">
        <w:rPr>
          <w:rFonts w:ascii="Times New Roman" w:hAnsi="Times New Roman" w:cs="Times New Roman"/>
          <w:sz w:val="24"/>
          <w:szCs w:val="24"/>
        </w:rPr>
        <w:t xml:space="preserve"> EUR 5713,90;</w:t>
      </w:r>
    </w:p>
    <w:p w:rsidR="004D4120" w:rsidRPr="004D4120" w:rsidRDefault="004D4120" w:rsidP="004D4120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Maize, mīklas izstrādājumi un konditoreja- </w:t>
      </w:r>
      <w:r w:rsidR="00414903">
        <w:rPr>
          <w:rFonts w:ascii="Times New Roman" w:hAnsi="Times New Roman" w:cs="Times New Roman"/>
          <w:sz w:val="24"/>
          <w:szCs w:val="24"/>
        </w:rPr>
        <w:t>SIA „Vecā maiznīca” – EUR 26</w:t>
      </w:r>
      <w:r w:rsidRPr="004D4120">
        <w:rPr>
          <w:rFonts w:ascii="Times New Roman" w:hAnsi="Times New Roman" w:cs="Times New Roman"/>
          <w:sz w:val="24"/>
          <w:szCs w:val="24"/>
        </w:rPr>
        <w:t>0</w:t>
      </w:r>
      <w:r w:rsidR="00414903">
        <w:rPr>
          <w:rFonts w:ascii="Times New Roman" w:hAnsi="Times New Roman" w:cs="Times New Roman"/>
          <w:sz w:val="24"/>
          <w:szCs w:val="24"/>
        </w:rPr>
        <w:t>1,00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4D4120" w:rsidRPr="004D4120" w:rsidRDefault="004D4120" w:rsidP="004D4120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D4120">
        <w:rPr>
          <w:rFonts w:ascii="Times New Roman" w:eastAsia="Times New Roman" w:hAnsi="Times New Roman" w:cs="Times New Roman"/>
          <w:sz w:val="24"/>
          <w:szCs w:val="24"/>
        </w:rPr>
        <w:t>Bakaleja</w:t>
      </w:r>
      <w:proofErr w:type="spellEnd"/>
      <w:r w:rsidRPr="004D4120">
        <w:rPr>
          <w:rFonts w:ascii="Times New Roman" w:eastAsia="Times New Roman" w:hAnsi="Times New Roman" w:cs="Times New Roman"/>
          <w:sz w:val="24"/>
          <w:szCs w:val="24"/>
        </w:rPr>
        <w:t xml:space="preserve"> un ilglaicīgai uzglabāšanai apstrādāti un konservēti dārzeņi un augļi- </w:t>
      </w:r>
      <w:r w:rsidRPr="004D4120">
        <w:rPr>
          <w:rFonts w:ascii="Times New Roman" w:hAnsi="Times New Roman" w:cs="Times New Roman"/>
          <w:sz w:val="24"/>
          <w:szCs w:val="24"/>
        </w:rPr>
        <w:t>SIA „Marijas centrs”-</w:t>
      </w:r>
      <w:r w:rsidR="00414903">
        <w:rPr>
          <w:rFonts w:ascii="Times New Roman" w:hAnsi="Times New Roman" w:cs="Times New Roman"/>
          <w:sz w:val="24"/>
          <w:szCs w:val="24"/>
        </w:rPr>
        <w:t xml:space="preserve"> EUR 2636,91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4D4120" w:rsidRPr="004D4120" w:rsidRDefault="004D4120" w:rsidP="004D4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>Kartupeļi -</w:t>
      </w:r>
      <w:r w:rsidRPr="004D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120">
        <w:rPr>
          <w:rFonts w:ascii="Times New Roman" w:hAnsi="Times New Roman" w:cs="Times New Roman"/>
          <w:sz w:val="24"/>
          <w:szCs w:val="24"/>
        </w:rPr>
        <w:t>SIA „</w:t>
      </w:r>
      <w:proofErr w:type="spellStart"/>
      <w:r w:rsidR="00414903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414903">
        <w:rPr>
          <w:rFonts w:ascii="Times New Roman" w:hAnsi="Times New Roman" w:cs="Times New Roman"/>
          <w:sz w:val="24"/>
          <w:szCs w:val="24"/>
        </w:rPr>
        <w:t xml:space="preserve"> Fruit” – EUR 663</w:t>
      </w:r>
      <w:r w:rsidRPr="004D4120">
        <w:rPr>
          <w:rFonts w:ascii="Times New Roman" w:hAnsi="Times New Roman" w:cs="Times New Roman"/>
          <w:sz w:val="24"/>
          <w:szCs w:val="24"/>
        </w:rPr>
        <w:t>,00;</w:t>
      </w:r>
    </w:p>
    <w:p w:rsidR="004D4120" w:rsidRPr="004D4120" w:rsidRDefault="004D4120" w:rsidP="004D4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Dārzeņi - </w:t>
      </w:r>
      <w:r w:rsidRPr="004D4120">
        <w:rPr>
          <w:rFonts w:ascii="Times New Roman" w:hAnsi="Times New Roman" w:cs="Times New Roman"/>
          <w:sz w:val="24"/>
          <w:szCs w:val="24"/>
        </w:rPr>
        <w:t>S</w:t>
      </w:r>
      <w:r w:rsidR="00414903">
        <w:rPr>
          <w:rFonts w:ascii="Times New Roman" w:hAnsi="Times New Roman" w:cs="Times New Roman"/>
          <w:sz w:val="24"/>
          <w:szCs w:val="24"/>
        </w:rPr>
        <w:t>IA „</w:t>
      </w:r>
      <w:proofErr w:type="spellStart"/>
      <w:r w:rsidR="00414903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414903">
        <w:rPr>
          <w:rFonts w:ascii="Times New Roman" w:hAnsi="Times New Roman" w:cs="Times New Roman"/>
          <w:sz w:val="24"/>
          <w:szCs w:val="24"/>
        </w:rPr>
        <w:t xml:space="preserve"> Fruit” – EUR 509,49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4D4120" w:rsidRPr="004D4120" w:rsidRDefault="004D4120" w:rsidP="004D4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Svaigi dārzeņi- </w:t>
      </w:r>
      <w:r w:rsidR="00414903">
        <w:rPr>
          <w:rFonts w:ascii="Times New Roman" w:hAnsi="Times New Roman" w:cs="Times New Roman"/>
          <w:sz w:val="24"/>
          <w:szCs w:val="24"/>
        </w:rPr>
        <w:t>SIA „Marijas centrs</w:t>
      </w:r>
      <w:r w:rsidR="00A13750">
        <w:rPr>
          <w:rFonts w:ascii="Times New Roman" w:hAnsi="Times New Roman" w:cs="Times New Roman"/>
          <w:sz w:val="24"/>
          <w:szCs w:val="24"/>
        </w:rPr>
        <w:t>” – EUR 637,55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4D4120" w:rsidRPr="004D4120" w:rsidRDefault="004D4120" w:rsidP="004D4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Eksotiskie svaigie augļi- </w:t>
      </w:r>
      <w:r w:rsidRPr="004D4120">
        <w:rPr>
          <w:rFonts w:ascii="Times New Roman" w:hAnsi="Times New Roman" w:cs="Times New Roman"/>
          <w:sz w:val="24"/>
          <w:szCs w:val="24"/>
        </w:rPr>
        <w:t>S</w:t>
      </w:r>
      <w:r w:rsidR="00A13750">
        <w:rPr>
          <w:rFonts w:ascii="Times New Roman" w:hAnsi="Times New Roman" w:cs="Times New Roman"/>
          <w:sz w:val="24"/>
          <w:szCs w:val="24"/>
        </w:rPr>
        <w:t>IA „Marijas centrs”- EUR 1299,70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4D4120" w:rsidRPr="004D4120" w:rsidRDefault="004D4120" w:rsidP="004D4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Āboli- </w:t>
      </w:r>
      <w:r w:rsidRPr="004D4120">
        <w:rPr>
          <w:rFonts w:ascii="Times New Roman" w:hAnsi="Times New Roman" w:cs="Times New Roman"/>
          <w:sz w:val="24"/>
          <w:szCs w:val="24"/>
        </w:rPr>
        <w:t>SIA „</w:t>
      </w:r>
      <w:proofErr w:type="spellStart"/>
      <w:r w:rsidRPr="004D4120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Pr="004D4120">
        <w:rPr>
          <w:rFonts w:ascii="Times New Roman" w:hAnsi="Times New Roman" w:cs="Times New Roman"/>
          <w:sz w:val="24"/>
          <w:szCs w:val="24"/>
        </w:rPr>
        <w:t xml:space="preserve"> Frui</w:t>
      </w:r>
      <w:r w:rsidR="00A13750">
        <w:rPr>
          <w:rFonts w:ascii="Times New Roman" w:hAnsi="Times New Roman" w:cs="Times New Roman"/>
          <w:sz w:val="24"/>
          <w:szCs w:val="24"/>
        </w:rPr>
        <w:t>t” – EUR 386,10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:rsidR="00A0026B" w:rsidRPr="00A13750" w:rsidRDefault="004D4120" w:rsidP="00A137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Bumbieri - </w:t>
      </w:r>
      <w:r w:rsidRPr="004D4120">
        <w:rPr>
          <w:rFonts w:ascii="Times New Roman" w:hAnsi="Times New Roman" w:cs="Times New Roman"/>
          <w:sz w:val="24"/>
          <w:szCs w:val="24"/>
        </w:rPr>
        <w:t>SIA „</w:t>
      </w:r>
      <w:proofErr w:type="spellStart"/>
      <w:r w:rsidR="00A13750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A13750">
        <w:rPr>
          <w:rFonts w:ascii="Times New Roman" w:hAnsi="Times New Roman" w:cs="Times New Roman"/>
          <w:sz w:val="24"/>
          <w:szCs w:val="24"/>
        </w:rPr>
        <w:t xml:space="preserve"> Fruit”- EUR 299,00</w:t>
      </w:r>
      <w:r w:rsidRPr="004D4120">
        <w:rPr>
          <w:rFonts w:ascii="Times New Roman" w:hAnsi="Times New Roman" w:cs="Times New Roman"/>
          <w:sz w:val="24"/>
          <w:szCs w:val="24"/>
        </w:rPr>
        <w:t>.</w:t>
      </w:r>
    </w:p>
    <w:p w:rsidR="00EF2339" w:rsidRPr="00A13750" w:rsidRDefault="00A13750" w:rsidP="00EF2339">
      <w:p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EF2339" w:rsidRPr="00A13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Pamatojums piedāvājuma izvēlei (izraudzītā pretendenta priekšrocības) </w:t>
      </w:r>
      <w:r w:rsidR="00EF2339" w:rsidRPr="00A13750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D4120" w:rsidRPr="00A13750">
        <w:rPr>
          <w:rFonts w:ascii="Times New Roman" w:eastAsia="Times New Roman" w:hAnsi="Times New Roman" w:cs="Times New Roman"/>
          <w:bCs/>
          <w:sz w:val="24"/>
          <w:szCs w:val="24"/>
        </w:rPr>
        <w:t xml:space="preserve">Nolikuma prasībām atbilstošs piedāvājums, kas attiecīgajā iepirkuma priekšmeta daļā ir ieguvusi lielāko punktu skaitu, atbilstoši noteiktajiem kritērijiem katrā iepirkuma daļā, </w:t>
      </w:r>
      <w:r w:rsidR="00EF2339" w:rsidRPr="00A13750">
        <w:rPr>
          <w:rFonts w:ascii="Times New Roman" w:eastAsia="Times New Roman" w:hAnsi="Times New Roman" w:cs="Times New Roman"/>
          <w:bCs/>
          <w:sz w:val="24"/>
          <w:szCs w:val="24"/>
        </w:rPr>
        <w:t>nolikumā noteiktajām</w:t>
      </w:r>
      <w:r w:rsidR="00EF2339" w:rsidRPr="00A13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2339" w:rsidRPr="00A13750">
        <w:rPr>
          <w:rFonts w:ascii="Times New Roman" w:eastAsia="Times New Roman" w:hAnsi="Times New Roman" w:cs="Times New Roman"/>
          <w:bCs/>
          <w:sz w:val="24"/>
          <w:szCs w:val="24"/>
        </w:rPr>
        <w:t>kvalifikācijas prasībām atbilstošs pretendents, kurš nav izslēdzams no dalības iepirkumā saskaņā ar Publisko iepirkumu likuma 9.panta astoto daļu, nolikuma prasībām</w:t>
      </w:r>
      <w:r w:rsidR="00EF2339" w:rsidRPr="00A13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2339" w:rsidRPr="00A13750">
        <w:rPr>
          <w:rFonts w:ascii="Times New Roman" w:eastAsia="Times New Roman" w:hAnsi="Times New Roman" w:cs="Times New Roman"/>
          <w:bCs/>
          <w:sz w:val="24"/>
          <w:szCs w:val="24"/>
        </w:rPr>
        <w:t>atbilstošs</w:t>
      </w:r>
      <w:r w:rsidR="00A0026B" w:rsidRPr="00A137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0026B" w:rsidRPr="00A13750">
        <w:rPr>
          <w:rFonts w:ascii="Times New Roman" w:eastAsia="Times New Roman" w:hAnsi="Times New Roman" w:cs="Times New Roman"/>
          <w:b/>
          <w:sz w:val="24"/>
          <w:szCs w:val="24"/>
        </w:rPr>
        <w:t>visizdevīgākais piedāvājums</w:t>
      </w:r>
      <w:r w:rsidR="00EF2339" w:rsidRPr="00A1375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43"/>
        <w:gridCol w:w="3342"/>
        <w:gridCol w:w="584"/>
        <w:gridCol w:w="2777"/>
      </w:tblGrid>
      <w:tr w:rsidR="00EF2339" w:rsidRPr="00A13750" w:rsidTr="00A51662">
        <w:trPr>
          <w:trHeight w:val="260"/>
        </w:trPr>
        <w:tc>
          <w:tcPr>
            <w:tcW w:w="2898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Zahare</w:t>
            </w:r>
            <w:proofErr w:type="spellEnd"/>
          </w:p>
        </w:tc>
        <w:tc>
          <w:tcPr>
            <w:tcW w:w="600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39" w:rsidRPr="00A13750" w:rsidRDefault="00EF2339" w:rsidP="00A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339" w:rsidRPr="00A13750" w:rsidTr="00A51662">
        <w:trPr>
          <w:trHeight w:val="185"/>
        </w:trPr>
        <w:tc>
          <w:tcPr>
            <w:tcW w:w="2898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600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EF2339" w:rsidRPr="00A13750" w:rsidTr="00A51662">
        <w:trPr>
          <w:trHeight w:val="352"/>
        </w:trPr>
        <w:tc>
          <w:tcPr>
            <w:tcW w:w="2898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locekļi: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Ināra </w:t>
            </w:r>
            <w:proofErr w:type="spellStart"/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600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339" w:rsidRPr="00A13750" w:rsidTr="00A51662">
        <w:tc>
          <w:tcPr>
            <w:tcW w:w="2898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600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EF2339" w:rsidRPr="00A13750" w:rsidTr="00A51662">
        <w:trPr>
          <w:trHeight w:val="276"/>
        </w:trPr>
        <w:tc>
          <w:tcPr>
            <w:tcW w:w="2898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Biruta </w:t>
            </w:r>
            <w:proofErr w:type="spellStart"/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Bikovska</w:t>
            </w:r>
            <w:proofErr w:type="spellEnd"/>
          </w:p>
        </w:tc>
        <w:tc>
          <w:tcPr>
            <w:tcW w:w="600" w:type="dxa"/>
          </w:tcPr>
          <w:p w:rsidR="00EF2339" w:rsidRPr="00A13750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F2339" w:rsidRPr="00A13750" w:rsidRDefault="00EF2339" w:rsidP="00A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339" w:rsidRPr="007B1088" w:rsidTr="00A51662">
        <w:trPr>
          <w:trHeight w:val="16"/>
        </w:trPr>
        <w:tc>
          <w:tcPr>
            <w:tcW w:w="2898" w:type="dxa"/>
          </w:tcPr>
          <w:p w:rsidR="00EF2339" w:rsidRPr="007B1088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EF2339" w:rsidRPr="007B1088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600" w:type="dxa"/>
          </w:tcPr>
          <w:p w:rsidR="00EF2339" w:rsidRPr="007B1088" w:rsidRDefault="00EF2339" w:rsidP="00A5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F2339" w:rsidRPr="007B1088" w:rsidRDefault="00EF2339" w:rsidP="00A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</w:tbl>
    <w:p w:rsidR="00EF2339" w:rsidRPr="0038099E" w:rsidRDefault="00EF2339" w:rsidP="00EF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F56" w:rsidRDefault="00870F56"/>
    <w:sectPr w:rsidR="00870F56" w:rsidSect="009B56EA">
      <w:headerReference w:type="default" r:id="rId8"/>
      <w:footerReference w:type="default" r:id="rId9"/>
      <w:pgSz w:w="11906" w:h="16838"/>
      <w:pgMar w:top="1440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0A" w:rsidRDefault="00830D0A">
      <w:pPr>
        <w:spacing w:after="0" w:line="240" w:lineRule="auto"/>
      </w:pPr>
      <w:r>
        <w:separator/>
      </w:r>
    </w:p>
  </w:endnote>
  <w:endnote w:type="continuationSeparator" w:id="0">
    <w:p w:rsidR="00830D0A" w:rsidRDefault="0083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9" w:rsidRDefault="007D5A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1A8">
      <w:rPr>
        <w:noProof/>
      </w:rPr>
      <w:t>3</w:t>
    </w:r>
    <w:r>
      <w:fldChar w:fldCharType="end"/>
    </w:r>
  </w:p>
  <w:p w:rsidR="00480579" w:rsidRDefault="00830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0A" w:rsidRDefault="00830D0A">
      <w:pPr>
        <w:spacing w:after="0" w:line="240" w:lineRule="auto"/>
      </w:pPr>
      <w:r>
        <w:separator/>
      </w:r>
    </w:p>
  </w:footnote>
  <w:footnote w:type="continuationSeparator" w:id="0">
    <w:p w:rsidR="00830D0A" w:rsidRDefault="0083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12" w:rsidRPr="00944B12" w:rsidRDefault="007D5AFB" w:rsidP="00944B12">
    <w:pPr>
      <w:pStyle w:val="Header"/>
      <w:jc w:val="right"/>
      <w:rPr>
        <w:i/>
        <w:u w:val="single"/>
      </w:rPr>
    </w:pPr>
    <w:r w:rsidRPr="00944B12">
      <w:rPr>
        <w:i/>
        <w:u w:val="single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D67"/>
    <w:multiLevelType w:val="hybridMultilevel"/>
    <w:tmpl w:val="77A2E242"/>
    <w:lvl w:ilvl="0" w:tplc="05BC5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9"/>
    <w:rsid w:val="003234E7"/>
    <w:rsid w:val="00414903"/>
    <w:rsid w:val="004D4120"/>
    <w:rsid w:val="00674B8B"/>
    <w:rsid w:val="007D5AFB"/>
    <w:rsid w:val="007E32A9"/>
    <w:rsid w:val="00830D0A"/>
    <w:rsid w:val="00867314"/>
    <w:rsid w:val="00870F56"/>
    <w:rsid w:val="009E4499"/>
    <w:rsid w:val="00A0026B"/>
    <w:rsid w:val="00A13750"/>
    <w:rsid w:val="00A371C8"/>
    <w:rsid w:val="00AE0975"/>
    <w:rsid w:val="00D84CD9"/>
    <w:rsid w:val="00EF2339"/>
    <w:rsid w:val="00E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2901"/>
  <w15:chartTrackingRefBased/>
  <w15:docId w15:val="{150667B8-18F4-475F-BC3A-94E3C8A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3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339"/>
  </w:style>
  <w:style w:type="paragraph" w:styleId="Footer">
    <w:name w:val="footer"/>
    <w:basedOn w:val="Normal"/>
    <w:link w:val="FooterChar"/>
    <w:uiPriority w:val="99"/>
    <w:semiHidden/>
    <w:unhideWhenUsed/>
    <w:rsid w:val="00EF23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339"/>
  </w:style>
  <w:style w:type="table" w:styleId="TableGrid">
    <w:name w:val="Table Grid"/>
    <w:basedOn w:val="TableNormal"/>
    <w:uiPriority w:val="59"/>
    <w:rsid w:val="00A0026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dcterms:created xsi:type="dcterms:W3CDTF">2017-09-08T12:58:00Z</dcterms:created>
  <dcterms:modified xsi:type="dcterms:W3CDTF">2017-09-12T10:59:00Z</dcterms:modified>
</cp:coreProperties>
</file>