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6B" w:rsidRDefault="00BD386B" w:rsidP="00BD386B">
      <w:pPr>
        <w:pStyle w:val="Heading1"/>
        <w:jc w:val="center"/>
        <w:rPr>
          <w:rFonts w:ascii="Times New Roman" w:hAnsi="Times New Roman" w:cs="Times New Roman"/>
          <w:b/>
          <w:bCs/>
          <w:sz w:val="28"/>
          <w:szCs w:val="28"/>
        </w:rPr>
      </w:pPr>
      <w:r>
        <w:rPr>
          <w:rFonts w:ascii="Times New Roman" w:hAnsi="Times New Roman" w:cs="Times New Roman"/>
          <w:b/>
          <w:bCs/>
          <w:sz w:val="28"/>
          <w:szCs w:val="28"/>
        </w:rPr>
        <w:t>LĪGUMS Nr. GPP 2015/3</w:t>
      </w:r>
    </w:p>
    <w:p w:rsidR="00BD386B" w:rsidRDefault="00BD386B" w:rsidP="00BD386B">
      <w:pPr>
        <w:tabs>
          <w:tab w:val="num" w:pos="720"/>
        </w:tabs>
        <w:jc w:val="center"/>
        <w:rPr>
          <w:b/>
          <w:color w:val="FF0000"/>
          <w:sz w:val="22"/>
          <w:szCs w:val="22"/>
          <w:lang w:val="lv-LV"/>
        </w:rPr>
      </w:pPr>
      <w:r>
        <w:rPr>
          <w:b/>
          <w:bCs/>
          <w:sz w:val="22"/>
          <w:szCs w:val="22"/>
          <w:lang w:val="lv-LV"/>
        </w:rPr>
        <w:t xml:space="preserve">par  metāla žoga sastāvdaļu piegādi </w:t>
      </w:r>
    </w:p>
    <w:p w:rsidR="00BD386B" w:rsidRDefault="00BD386B" w:rsidP="008E4DDA">
      <w:pPr>
        <w:tabs>
          <w:tab w:val="num" w:pos="720"/>
        </w:tabs>
        <w:rPr>
          <w:lang w:val="lv-LV"/>
        </w:rPr>
      </w:pPr>
    </w:p>
    <w:p w:rsidR="00BD386B" w:rsidRDefault="00BD386B" w:rsidP="00BD386B">
      <w:pPr>
        <w:pStyle w:val="Heading2"/>
        <w:rPr>
          <w:szCs w:val="24"/>
        </w:rPr>
      </w:pPr>
      <w:r>
        <w:rPr>
          <w:szCs w:val="24"/>
        </w:rPr>
        <w:t>c.Sprūževa, Griškānu pagasts, Rēzeknes novads</w:t>
      </w:r>
    </w:p>
    <w:p w:rsidR="00BD386B" w:rsidRDefault="00BD386B" w:rsidP="00BD386B">
      <w:pPr>
        <w:pStyle w:val="Heading2"/>
        <w:jc w:val="right"/>
        <w:rPr>
          <w:b/>
          <w:szCs w:val="24"/>
        </w:rPr>
      </w:pPr>
      <w:r>
        <w:rPr>
          <w:szCs w:val="24"/>
        </w:rPr>
        <w:t xml:space="preserve">2015.gada 30.jūlijā                                                                                        </w:t>
      </w:r>
    </w:p>
    <w:p w:rsidR="00BD386B" w:rsidRDefault="00BD386B" w:rsidP="00BD386B">
      <w:pPr>
        <w:tabs>
          <w:tab w:val="num" w:pos="720"/>
        </w:tabs>
        <w:jc w:val="both"/>
        <w:rPr>
          <w:lang w:val="lv-LV"/>
        </w:rPr>
      </w:pPr>
    </w:p>
    <w:p w:rsidR="00BD386B" w:rsidRDefault="00BD386B" w:rsidP="00BD386B">
      <w:pPr>
        <w:jc w:val="both"/>
        <w:rPr>
          <w:iCs/>
          <w:lang w:val="lv-LV"/>
        </w:rPr>
      </w:pPr>
      <w:r>
        <w:rPr>
          <w:b/>
          <w:iCs/>
          <w:lang w:val="lv-LV"/>
        </w:rPr>
        <w:t>Rēzeknes novada pašvaldības</w:t>
      </w:r>
      <w:r>
        <w:rPr>
          <w:iCs/>
          <w:lang w:val="lv-LV"/>
        </w:rPr>
        <w:t xml:space="preserve"> </w:t>
      </w:r>
      <w:r>
        <w:rPr>
          <w:b/>
          <w:iCs/>
          <w:lang w:val="lv-LV"/>
        </w:rPr>
        <w:t>Griškānu pagasta pārvalde</w:t>
      </w:r>
      <w:r>
        <w:rPr>
          <w:bCs/>
          <w:lang w:val="lv-LV"/>
        </w:rPr>
        <w:t>,</w:t>
      </w:r>
      <w:r>
        <w:rPr>
          <w:b/>
          <w:bCs/>
          <w:lang w:val="lv-LV"/>
        </w:rPr>
        <w:t xml:space="preserve"> </w:t>
      </w:r>
      <w:r w:rsidR="00CB7706">
        <w:rPr>
          <w:lang w:val="lv-LV"/>
        </w:rPr>
        <w:t xml:space="preserve"> </w:t>
      </w:r>
      <w:r>
        <w:rPr>
          <w:lang w:val="lv-LV"/>
        </w:rPr>
        <w:t xml:space="preserve">, pārvaldes vadītājas </w:t>
      </w:r>
      <w:r w:rsidR="00CB7706">
        <w:rPr>
          <w:lang w:val="lv-LV"/>
        </w:rPr>
        <w:t xml:space="preserve"> </w:t>
      </w:r>
      <w:r>
        <w:rPr>
          <w:lang w:val="lv-LV"/>
        </w:rPr>
        <w:t xml:space="preserve">personā, kura rīkojas uz Nolikuma pamata, turpmāk – PASŪTĪTĀJS, no vienas puses, un </w:t>
      </w:r>
      <w:r>
        <w:rPr>
          <w:b/>
          <w:bCs/>
          <w:lang w:val="lv-LV"/>
        </w:rPr>
        <w:t>sabiedrība ar ierobežotu atbildību “DAKO”</w:t>
      </w:r>
      <w:r>
        <w:rPr>
          <w:bCs/>
          <w:lang w:val="lv-LV"/>
        </w:rPr>
        <w:t>,</w:t>
      </w:r>
      <w:r>
        <w:rPr>
          <w:bCs/>
          <w:iCs/>
          <w:lang w:val="lv-LV"/>
        </w:rPr>
        <w:t xml:space="preserve"> </w:t>
      </w:r>
      <w:r w:rsidR="00CB7706">
        <w:rPr>
          <w:bCs/>
          <w:lang w:val="lv-LV"/>
        </w:rPr>
        <w:t xml:space="preserve"> </w:t>
      </w:r>
      <w:r>
        <w:rPr>
          <w:lang w:val="lv-LV"/>
        </w:rPr>
        <w:t>, kuru saskaņā ar sabiedrības St</w:t>
      </w:r>
      <w:r w:rsidR="00CB7706">
        <w:rPr>
          <w:lang w:val="lv-LV"/>
        </w:rPr>
        <w:t>atūtiem pārstāv valdes loceklis</w:t>
      </w:r>
      <w:r>
        <w:rPr>
          <w:lang w:val="lv-LV"/>
        </w:rPr>
        <w:t>, turpmāk – PĀRDEVĒJS, no otras puses, abas kopā turpmāk sauktas PUSES un katra atsevišķi PUSE, pamatojoties uz iepirkuma „</w:t>
      </w:r>
      <w:r>
        <w:rPr>
          <w:b/>
          <w:lang w:val="lv-LV"/>
        </w:rPr>
        <w:t>Metāla žoga sastāvdaļu piegāde</w:t>
      </w:r>
      <w:r>
        <w:rPr>
          <w:b/>
          <w:bCs/>
          <w:lang w:val="lv-LV"/>
        </w:rPr>
        <w:t xml:space="preserve">” </w:t>
      </w:r>
      <w:r>
        <w:rPr>
          <w:lang w:val="lv-LV"/>
        </w:rPr>
        <w:t>(identifikācijas Nr. GPP 2015/3), iepirkumu komisijas 2015.gada 28.jūlija protokolu Nr. 3 un 2015.gada 28.jūlija piedāvājumu vērtēšanas protokola Nr. 3 punktu Nr. 1.2.1,turpmāk – IEPIRKUMS, rezultātiem un saskaņā ar PIEGĀDĀTĀJA iesniegto piedāvājumu, noslēdz šādu līgumu, turpmāk – Līgums:</w:t>
      </w:r>
    </w:p>
    <w:p w:rsidR="00BD386B" w:rsidRDefault="00BD386B" w:rsidP="00BD386B">
      <w:pPr>
        <w:jc w:val="both"/>
        <w:rPr>
          <w:lang w:val="lv-LV"/>
        </w:rPr>
      </w:pPr>
    </w:p>
    <w:p w:rsidR="00BD386B" w:rsidRDefault="00BD386B" w:rsidP="00BD386B">
      <w:pPr>
        <w:numPr>
          <w:ilvl w:val="0"/>
          <w:numId w:val="1"/>
        </w:numPr>
        <w:jc w:val="center"/>
        <w:rPr>
          <w:b/>
          <w:lang w:val="lv-LV"/>
        </w:rPr>
      </w:pPr>
      <w:r>
        <w:rPr>
          <w:b/>
          <w:lang w:val="lv-LV"/>
        </w:rPr>
        <w:t>LĪGUMA PRIEKŠMETS</w:t>
      </w:r>
    </w:p>
    <w:p w:rsidR="00BD386B" w:rsidRDefault="00BD386B" w:rsidP="00BD386B">
      <w:pPr>
        <w:ind w:left="720"/>
        <w:rPr>
          <w:b/>
          <w:lang w:val="lv-LV"/>
        </w:rPr>
      </w:pPr>
    </w:p>
    <w:p w:rsidR="00BD386B" w:rsidRDefault="00BD386B" w:rsidP="00BD386B">
      <w:pPr>
        <w:jc w:val="both"/>
        <w:rPr>
          <w:bCs/>
          <w:iCs/>
          <w:lang w:val="lv-LV"/>
        </w:rPr>
      </w:pPr>
      <w:r>
        <w:rPr>
          <w:lang w:val="lv-LV"/>
        </w:rPr>
        <w:t>1.1. PASŪTĪTĀJS pasūta un PĀRDEVĒJS apņemas piegādāt m</w:t>
      </w:r>
      <w:r>
        <w:rPr>
          <w:bCs/>
          <w:sz w:val="22"/>
          <w:szCs w:val="22"/>
          <w:lang w:val="lv-LV"/>
        </w:rPr>
        <w:t xml:space="preserve">etāla žoga sastāvdaļas, </w:t>
      </w:r>
      <w:r>
        <w:rPr>
          <w:lang w:val="lv-LV"/>
        </w:rPr>
        <w:t>turpmāk tekstā - PRECE, PASŪTĪTĀJA atrašanās vietā Parka ielā 3, ciems Sprūževa, Griškānu pagasts, Rēzeknes novads, LV 4641</w:t>
      </w:r>
      <w:r>
        <w:rPr>
          <w:szCs w:val="22"/>
          <w:lang w:val="lv-LV"/>
        </w:rPr>
        <w:t xml:space="preserve"> vai </w:t>
      </w:r>
      <w:r>
        <w:rPr>
          <w:lang w:val="lv-LV"/>
        </w:rPr>
        <w:t xml:space="preserve">citā vietā pēc iepriekšēja saskaņojuma Griškānu pagasta administratīvajā teritorijā. </w:t>
      </w:r>
    </w:p>
    <w:p w:rsidR="00BD386B" w:rsidRDefault="00BD386B" w:rsidP="00BD386B">
      <w:pPr>
        <w:jc w:val="both"/>
        <w:rPr>
          <w:lang w:val="lv-LV"/>
        </w:rPr>
      </w:pPr>
      <w:r>
        <w:rPr>
          <w:lang w:val="lv-LV"/>
        </w:rPr>
        <w:t xml:space="preserve">1.2. </w:t>
      </w:r>
      <w:r>
        <w:rPr>
          <w:spacing w:val="-1"/>
          <w:lang w:val="lv-LV"/>
        </w:rPr>
        <w:t xml:space="preserve">PREČU iepirkuma daudzumi  un cenas ir noteiktas līguma pielikumā. </w:t>
      </w:r>
    </w:p>
    <w:p w:rsidR="00BD386B" w:rsidRDefault="00BD386B" w:rsidP="00BD386B">
      <w:pPr>
        <w:ind w:right="-2"/>
        <w:jc w:val="both"/>
        <w:rPr>
          <w:lang w:val="lv-LV"/>
        </w:rPr>
      </w:pPr>
      <w:r>
        <w:rPr>
          <w:lang w:val="lv-LV"/>
        </w:rPr>
        <w:t xml:space="preserve">1.3. PREČU kvalitātei jāatbilst pasūtījumā norādītajām prasībām, kā arī Latvijas Republikas normatīvajos aktos noteiktajām kvalitātes prasībām, kuras noteiktas noteiktās kategorijas precei. </w:t>
      </w:r>
    </w:p>
    <w:p w:rsidR="00BD386B" w:rsidRDefault="00BD386B" w:rsidP="00BD386B">
      <w:pPr>
        <w:ind w:right="-1192"/>
        <w:jc w:val="center"/>
        <w:rPr>
          <w:b/>
          <w:lang w:val="lv-LV"/>
        </w:rPr>
      </w:pPr>
    </w:p>
    <w:p w:rsidR="00BD386B" w:rsidRDefault="00BD386B" w:rsidP="00BD386B">
      <w:pPr>
        <w:numPr>
          <w:ilvl w:val="0"/>
          <w:numId w:val="1"/>
        </w:numPr>
        <w:ind w:right="-1192"/>
        <w:jc w:val="center"/>
        <w:rPr>
          <w:b/>
          <w:lang w:val="lv-LV"/>
        </w:rPr>
      </w:pPr>
      <w:r>
        <w:rPr>
          <w:b/>
          <w:lang w:val="lv-LV"/>
        </w:rPr>
        <w:t>LĪGUMA  SUMMA UN SAMAKSAS KĀRTĪBA</w:t>
      </w:r>
    </w:p>
    <w:p w:rsidR="00BD386B" w:rsidRDefault="00BD386B" w:rsidP="00BD386B">
      <w:pPr>
        <w:ind w:left="720" w:right="-1192"/>
        <w:rPr>
          <w:b/>
          <w:lang w:val="lv-LV"/>
        </w:rPr>
      </w:pPr>
    </w:p>
    <w:p w:rsidR="00BD386B" w:rsidRDefault="008E4DDA" w:rsidP="00BD386B">
      <w:pPr>
        <w:tabs>
          <w:tab w:val="left" w:pos="720"/>
        </w:tabs>
        <w:ind w:right="-2"/>
        <w:jc w:val="both"/>
        <w:rPr>
          <w:lang w:val="lv-LV"/>
        </w:rPr>
      </w:pPr>
      <w:r>
        <w:rPr>
          <w:lang w:val="lv-LV"/>
        </w:rPr>
        <w:t>2.1.</w:t>
      </w:r>
      <w:r>
        <w:rPr>
          <w:lang w:val="lv-LV"/>
        </w:rPr>
        <w:tab/>
        <w:t>Līguma</w:t>
      </w:r>
      <w:r w:rsidR="00BD386B">
        <w:rPr>
          <w:lang w:val="lv-LV"/>
        </w:rPr>
        <w:t xml:space="preserve"> summa sastāda </w:t>
      </w:r>
      <w:r w:rsidR="00BD386B">
        <w:rPr>
          <w:b/>
          <w:u w:val="single"/>
          <w:lang w:val="lv-LV"/>
        </w:rPr>
        <w:t xml:space="preserve">EUR_5310,96 </w:t>
      </w:r>
      <w:r w:rsidR="00BD386B">
        <w:rPr>
          <w:lang w:val="lv-LV"/>
        </w:rPr>
        <w:t>(</w:t>
      </w:r>
      <w:r w:rsidR="00BD386B">
        <w:rPr>
          <w:i/>
          <w:lang w:val="lv-LV"/>
        </w:rPr>
        <w:t>pieci tūkstoši trīs simti desmit euro un 96 eurocenti</w:t>
      </w:r>
      <w:r>
        <w:rPr>
          <w:lang w:val="lv-LV"/>
        </w:rPr>
        <w:t>). Līguma summa norādīta bez PVN 21%.</w:t>
      </w:r>
    </w:p>
    <w:p w:rsidR="00BD386B" w:rsidRDefault="00BD386B" w:rsidP="00BD386B">
      <w:pPr>
        <w:tabs>
          <w:tab w:val="left" w:pos="720"/>
        </w:tabs>
        <w:ind w:right="-2"/>
        <w:jc w:val="both"/>
        <w:rPr>
          <w:lang w:val="lv-LV"/>
        </w:rPr>
      </w:pPr>
      <w:r>
        <w:rPr>
          <w:lang w:val="lv-LV"/>
        </w:rPr>
        <w:t>2.2.</w:t>
      </w:r>
      <w:r>
        <w:rPr>
          <w:lang w:val="lv-LV"/>
        </w:rPr>
        <w:tab/>
        <w:t>PASŪTĪTĀJS veic PREČU saņemšanu  vai pasūta piegādi. Preču piegāde tiek nodrošināta saskaņā ar pavadzīmēm-rēķiniem  līguma kopējās summas ietvaros.  PRECES cenā ir iekļauti visi iespējamie izdevumi, kas var rasties PĀRDEVĒJAM ar Līguma izpildi.</w:t>
      </w:r>
    </w:p>
    <w:p w:rsidR="00BD386B" w:rsidRDefault="00BD386B" w:rsidP="00BD386B">
      <w:pPr>
        <w:tabs>
          <w:tab w:val="num" w:pos="720"/>
        </w:tabs>
        <w:jc w:val="both"/>
        <w:rPr>
          <w:lang w:val="lv-LV"/>
        </w:rPr>
      </w:pPr>
      <w:r>
        <w:rPr>
          <w:lang w:val="lv-LV"/>
        </w:rPr>
        <w:t>2.3.</w:t>
      </w:r>
      <w:r>
        <w:rPr>
          <w:lang w:val="lv-LV"/>
        </w:rPr>
        <w:tab/>
        <w:t xml:space="preserve">Līguma darbības laikā PRECEI ir spēkā tā cena, ko PĀRDEVĒJS ir piedāvājis izsludinātajā publiskajā iepirkumā ar identifikācijas numuru GPP 2015/3 </w:t>
      </w:r>
      <w:r>
        <w:rPr>
          <w:bCs/>
          <w:sz w:val="22"/>
          <w:szCs w:val="22"/>
          <w:lang w:val="lv-LV"/>
        </w:rPr>
        <w:t>„Metāla žoga sastāvdaļu piegāde</w:t>
      </w:r>
      <w:r>
        <w:rPr>
          <w:sz w:val="22"/>
          <w:szCs w:val="22"/>
          <w:lang w:val="lv-LV"/>
        </w:rPr>
        <w:t>”.</w:t>
      </w:r>
      <w:r>
        <w:rPr>
          <w:b/>
          <w:bCs/>
          <w:sz w:val="22"/>
          <w:szCs w:val="22"/>
          <w:lang w:val="lv-LV"/>
        </w:rPr>
        <w:t xml:space="preserve"> </w:t>
      </w:r>
      <w:r>
        <w:rPr>
          <w:lang w:val="lv-LV"/>
        </w:rPr>
        <w:t xml:space="preserve">PĀRDEVĒJAM nav tiesību mainīt Līguma cenas. </w:t>
      </w:r>
    </w:p>
    <w:p w:rsidR="00BD386B" w:rsidRDefault="00BD386B" w:rsidP="00BD386B">
      <w:pPr>
        <w:tabs>
          <w:tab w:val="left" w:pos="720"/>
        </w:tabs>
        <w:ind w:right="-2"/>
        <w:jc w:val="both"/>
        <w:rPr>
          <w:lang w:val="lv-LV"/>
        </w:rPr>
      </w:pPr>
      <w:r>
        <w:rPr>
          <w:lang w:val="lv-LV"/>
        </w:rPr>
        <w:t>2.4.</w:t>
      </w:r>
      <w:r>
        <w:rPr>
          <w:lang w:val="lv-LV"/>
        </w:rPr>
        <w:tab/>
        <w:t xml:space="preserve">PĀRDEVĒJAM  izraksta PASŪTĪTĀJAM preču pavadzīmi – rēķinu par piegādāto preci pēc atsevišķi saņemtiem PASŪTĪTĀJA pasūtījumiem.  </w:t>
      </w:r>
    </w:p>
    <w:p w:rsidR="00BD386B" w:rsidRDefault="00BD386B" w:rsidP="00BD386B">
      <w:pPr>
        <w:tabs>
          <w:tab w:val="left" w:pos="720"/>
        </w:tabs>
        <w:ind w:right="-2"/>
        <w:jc w:val="both"/>
        <w:rPr>
          <w:lang w:val="lv-LV"/>
        </w:rPr>
      </w:pPr>
      <w:r>
        <w:rPr>
          <w:lang w:val="lv-LV"/>
        </w:rPr>
        <w:t>2.5.</w:t>
      </w:r>
      <w:r>
        <w:rPr>
          <w:lang w:val="lv-LV"/>
        </w:rPr>
        <w:tab/>
        <w:t xml:space="preserve">PASŪTĪTĀJS veic apmaksu, pārskaitot preču pavadzīmē-rēķinā norādīto summu (EUR) uz PĀRDEVĒJA norādīto norēķinu kontu, par piegādāto PRECI 30 (trīsdesmit) kalendāro  dienu laikā pēc attiecīgā rēķina saņemšanas dienas. </w:t>
      </w:r>
    </w:p>
    <w:p w:rsidR="00BD386B" w:rsidRDefault="00BD386B" w:rsidP="00BD386B">
      <w:pPr>
        <w:tabs>
          <w:tab w:val="left" w:pos="720"/>
        </w:tabs>
        <w:ind w:right="-2"/>
        <w:jc w:val="both"/>
        <w:rPr>
          <w:lang w:val="lv-LV"/>
        </w:rPr>
      </w:pPr>
      <w:r>
        <w:rPr>
          <w:lang w:val="lv-LV"/>
        </w:rPr>
        <w:t>2.6.</w:t>
      </w:r>
      <w:r>
        <w:rPr>
          <w:lang w:val="lv-LV"/>
        </w:rPr>
        <w:tab/>
        <w:t>Par PREČU apmaksas dienu tiek uzskatīta diena, kad PASŪTĪTĀJS  ir pārskaitījis naudu uz PĀRDEVĒJA bankas norēķinu kontu, ko apliecina attiecīgs maksājuma uzdevums.</w:t>
      </w:r>
    </w:p>
    <w:p w:rsidR="00BD386B" w:rsidRDefault="00BD386B" w:rsidP="00BD386B">
      <w:pPr>
        <w:tabs>
          <w:tab w:val="left" w:pos="720"/>
        </w:tabs>
        <w:ind w:right="-2"/>
        <w:jc w:val="both"/>
        <w:rPr>
          <w:lang w:val="lv-LV"/>
        </w:rPr>
      </w:pPr>
    </w:p>
    <w:p w:rsidR="00BD386B" w:rsidRDefault="00BD386B" w:rsidP="00BD386B">
      <w:pPr>
        <w:tabs>
          <w:tab w:val="left" w:pos="720"/>
        </w:tabs>
        <w:ind w:right="-2"/>
        <w:jc w:val="both"/>
        <w:rPr>
          <w:lang w:val="lv-LV"/>
        </w:rPr>
      </w:pPr>
    </w:p>
    <w:p w:rsidR="00BD386B" w:rsidRDefault="00BD386B" w:rsidP="00BD386B">
      <w:pPr>
        <w:numPr>
          <w:ilvl w:val="0"/>
          <w:numId w:val="1"/>
        </w:numPr>
        <w:ind w:right="-1192"/>
        <w:jc w:val="center"/>
        <w:rPr>
          <w:b/>
          <w:lang w:val="lv-LV"/>
        </w:rPr>
      </w:pPr>
      <w:r>
        <w:rPr>
          <w:b/>
          <w:lang w:val="lv-LV"/>
        </w:rPr>
        <w:t>LĪGUMA  IZPILDES TERMIŅŠ, VIETA UN NOSACĪJUMI</w:t>
      </w:r>
    </w:p>
    <w:p w:rsidR="00BD386B" w:rsidRDefault="00BD386B" w:rsidP="00BD386B">
      <w:pPr>
        <w:ind w:left="720" w:right="-1192"/>
        <w:rPr>
          <w:lang w:val="lv-LV"/>
        </w:rPr>
      </w:pPr>
    </w:p>
    <w:p w:rsidR="00BD386B" w:rsidRDefault="00BD386B" w:rsidP="00BD386B">
      <w:pPr>
        <w:ind w:right="-2"/>
        <w:jc w:val="both"/>
        <w:rPr>
          <w:lang w:val="lv-LV"/>
        </w:rPr>
      </w:pPr>
      <w:r>
        <w:rPr>
          <w:lang w:val="lv-LV"/>
        </w:rPr>
        <w:t>3.1.</w:t>
      </w:r>
      <w:r>
        <w:rPr>
          <w:lang w:val="lv-LV"/>
        </w:rPr>
        <w:tab/>
        <w:t>Līgums stājas spēkā no tā parakstīšanas brīža un ir spēkā  līdz saistību pilnīgai izpildei.</w:t>
      </w:r>
    </w:p>
    <w:p w:rsidR="00BD386B" w:rsidRDefault="00BD386B" w:rsidP="00BD386B">
      <w:pPr>
        <w:ind w:right="-2"/>
        <w:jc w:val="both"/>
        <w:rPr>
          <w:szCs w:val="22"/>
          <w:lang w:val="lv-LV"/>
        </w:rPr>
      </w:pPr>
      <w:r>
        <w:rPr>
          <w:lang w:val="lv-LV"/>
        </w:rPr>
        <w:lastRenderedPageBreak/>
        <w:t>PRECES piegāde notiek 10 dienu laikā pēc katra pasūtījuma saņemšanas ar vairākām piegādēm saskaņā ar PASŪTĪTĀJA pieteikto PRECES daudzumu katrā piegādē. Nav pieļaujama PRECES piegāde ar vienu piegādi.</w:t>
      </w:r>
    </w:p>
    <w:p w:rsidR="00BD386B" w:rsidRDefault="00BD386B" w:rsidP="00BD386B">
      <w:pPr>
        <w:ind w:right="-2"/>
        <w:jc w:val="both"/>
        <w:rPr>
          <w:lang w:val="lv-LV"/>
        </w:rPr>
      </w:pPr>
      <w:r>
        <w:rPr>
          <w:lang w:val="lv-LV"/>
        </w:rPr>
        <w:t xml:space="preserve">3.2.    Par pasūtījumu uzskatāms PASŪTĪTĀJA pilnvarotā pārstāvja mutiski vai rakstiski izteikts pieprasījums pārdot PRECI vai iepriekš saskaņots PREČU pārdošanas grafiks. </w:t>
      </w:r>
    </w:p>
    <w:p w:rsidR="00BD386B" w:rsidRDefault="00BD386B" w:rsidP="00BD386B">
      <w:pPr>
        <w:tabs>
          <w:tab w:val="left" w:pos="851"/>
        </w:tabs>
        <w:jc w:val="both"/>
        <w:rPr>
          <w:lang w:val="lv-LV"/>
        </w:rPr>
      </w:pPr>
      <w:r>
        <w:rPr>
          <w:lang w:val="lv-LV"/>
        </w:rPr>
        <w:t>3.3. Piegādājamās PRECES daudzumu, vietu un laiku PUSES saskaņo pirms katras konkrētās PREČU partijas piegādes.</w:t>
      </w:r>
    </w:p>
    <w:p w:rsidR="00BD386B" w:rsidRDefault="00BD386B" w:rsidP="00BD386B">
      <w:pPr>
        <w:tabs>
          <w:tab w:val="left" w:pos="851"/>
        </w:tabs>
        <w:jc w:val="both"/>
        <w:rPr>
          <w:lang w:val="lv-LV"/>
        </w:rPr>
      </w:pPr>
      <w:r>
        <w:rPr>
          <w:lang w:val="lv-LV"/>
        </w:rPr>
        <w:t>3.4.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BD386B" w:rsidRDefault="00BD386B" w:rsidP="00BD386B">
      <w:pPr>
        <w:tabs>
          <w:tab w:val="left" w:pos="851"/>
        </w:tabs>
        <w:jc w:val="both"/>
        <w:rPr>
          <w:lang w:val="lv-LV"/>
        </w:rPr>
      </w:pPr>
      <w:r>
        <w:rPr>
          <w:lang w:val="lv-LV"/>
        </w:rPr>
        <w:t xml:space="preserve">3.5. Pārdodamās PRECES daudzums norādīts pavadzīmē – rēķinā, ko PĀRDEVĒJS izraksta, un kuru PUSES uzskata par šī Līguma neatņemamu sastāvdaļu. </w:t>
      </w:r>
    </w:p>
    <w:p w:rsidR="00BD386B" w:rsidRDefault="00BD386B" w:rsidP="00BD386B">
      <w:pPr>
        <w:jc w:val="center"/>
        <w:rPr>
          <w:lang w:val="lv-LV"/>
        </w:rPr>
      </w:pPr>
    </w:p>
    <w:p w:rsidR="00BD386B" w:rsidRPr="008E4DDA" w:rsidRDefault="00BD386B" w:rsidP="008E4DDA">
      <w:pPr>
        <w:pStyle w:val="ListParagraph"/>
        <w:numPr>
          <w:ilvl w:val="0"/>
          <w:numId w:val="1"/>
        </w:numPr>
        <w:ind w:right="-2"/>
        <w:rPr>
          <w:b/>
          <w:lang w:val="lv-LV"/>
        </w:rPr>
      </w:pPr>
      <w:r w:rsidRPr="008E4DDA">
        <w:rPr>
          <w:b/>
          <w:lang w:val="lv-LV"/>
        </w:rPr>
        <w:t>LĪDZĒJU  ATBILDĪBA  PAR  LĪGUMA  NEPILDĪŠANU</w:t>
      </w:r>
    </w:p>
    <w:p w:rsidR="00BD386B" w:rsidRDefault="00BD386B" w:rsidP="00BD386B">
      <w:pPr>
        <w:ind w:left="3420" w:right="-2"/>
        <w:jc w:val="both"/>
        <w:rPr>
          <w:b/>
          <w:lang w:val="lv-LV"/>
        </w:rPr>
      </w:pPr>
    </w:p>
    <w:p w:rsidR="00BD386B" w:rsidRDefault="00BD386B" w:rsidP="00BD386B">
      <w:pPr>
        <w:tabs>
          <w:tab w:val="left" w:pos="0"/>
        </w:tabs>
        <w:ind w:right="-2"/>
        <w:jc w:val="both"/>
        <w:rPr>
          <w:lang w:val="lv-LV"/>
        </w:rPr>
      </w:pPr>
      <w:r>
        <w:rPr>
          <w:lang w:val="lv-LV"/>
        </w:rPr>
        <w:t>4.1.</w:t>
      </w:r>
      <w:r>
        <w:rPr>
          <w:lang w:val="lv-LV"/>
        </w:rPr>
        <w:tab/>
        <w:t>Par saņemtās PRECES nesavlaicīgu apmaksu tiek noteikts līgumsods 0,01% apmērā no neapmaksātā rēķina kopējās summas par katru maksājuma kavējuma dienu, bet ne vairāk par 10% no kopējās Līguma summas.</w:t>
      </w:r>
    </w:p>
    <w:p w:rsidR="00BD386B" w:rsidRDefault="00BD386B" w:rsidP="00BD386B">
      <w:pPr>
        <w:tabs>
          <w:tab w:val="left" w:pos="0"/>
        </w:tabs>
        <w:ind w:right="-2"/>
        <w:jc w:val="both"/>
        <w:rPr>
          <w:lang w:val="lv-LV"/>
        </w:rPr>
      </w:pPr>
      <w:r>
        <w:rPr>
          <w:lang w:val="lv-LV"/>
        </w:rPr>
        <w:t>4.2.</w:t>
      </w:r>
      <w:r>
        <w:rPr>
          <w:lang w:val="lv-LV"/>
        </w:rPr>
        <w:tab/>
        <w:t>Par PRECES nesavlaicīgu piegādi tiek noteikta kavējuma nauda 0,01% apmērā no laikā neveiktā iepirkuma vērtības par katru nokavēto izpildes dienu.</w:t>
      </w:r>
    </w:p>
    <w:p w:rsidR="00BD386B" w:rsidRDefault="00BD386B" w:rsidP="00BD386B">
      <w:pPr>
        <w:tabs>
          <w:tab w:val="left" w:pos="720"/>
        </w:tabs>
        <w:ind w:left="720" w:right="-2" w:hanging="720"/>
        <w:jc w:val="both"/>
        <w:rPr>
          <w:lang w:val="lv-LV"/>
        </w:rPr>
      </w:pPr>
      <w:r>
        <w:rPr>
          <w:lang w:val="lv-LV"/>
        </w:rPr>
        <w:t>4.3.</w:t>
      </w:r>
      <w:r>
        <w:rPr>
          <w:lang w:val="lv-LV"/>
        </w:rPr>
        <w:tab/>
        <w:t>Līgumsoda un kavējuma naudas samaksa neatbrīvo PUSES no Līguma izpildes.</w:t>
      </w:r>
    </w:p>
    <w:p w:rsidR="00BD386B" w:rsidRDefault="00BD386B" w:rsidP="00BD386B">
      <w:pPr>
        <w:tabs>
          <w:tab w:val="left" w:pos="0"/>
        </w:tabs>
        <w:ind w:right="-2"/>
        <w:jc w:val="both"/>
        <w:rPr>
          <w:lang w:val="lv-LV"/>
        </w:rPr>
      </w:pPr>
      <w:r>
        <w:rPr>
          <w:lang w:val="lv-LV"/>
        </w:rPr>
        <w:t>4.4.</w:t>
      </w:r>
      <w:r>
        <w:rPr>
          <w:lang w:val="lv-LV"/>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BD386B" w:rsidRDefault="00BD386B" w:rsidP="00BD386B">
      <w:pPr>
        <w:tabs>
          <w:tab w:val="left" w:pos="0"/>
        </w:tabs>
        <w:ind w:right="-2"/>
        <w:jc w:val="both"/>
        <w:rPr>
          <w:lang w:val="lv-LV"/>
        </w:rPr>
      </w:pPr>
      <w:r>
        <w:rPr>
          <w:lang w:val="lv-LV"/>
        </w:rPr>
        <w:t>4.5.</w:t>
      </w:r>
      <w:r>
        <w:rPr>
          <w:lang w:val="lv-LV"/>
        </w:rPr>
        <w:tab/>
        <w:t>PUSE, kura atsaucas  uz 4.4.punktā minētajiem apstākļiem, par to iestāšanos otrai PUSEI paziņo ne vēlāk kā 3 (trīs) darba dienu laikā, pievienojot kompetentas valsts institūcijas izziņu, kas apstiprina šo faktu.</w:t>
      </w:r>
    </w:p>
    <w:p w:rsidR="00BD386B" w:rsidRDefault="00BD386B" w:rsidP="00BD386B">
      <w:pPr>
        <w:tabs>
          <w:tab w:val="left" w:pos="0"/>
        </w:tabs>
        <w:ind w:right="-2"/>
        <w:jc w:val="both"/>
        <w:rPr>
          <w:lang w:val="lv-LV"/>
        </w:rPr>
      </w:pPr>
      <w:r>
        <w:rPr>
          <w:lang w:val="lv-LV"/>
        </w:rPr>
        <w:t>4.6.</w:t>
      </w:r>
      <w:r>
        <w:rPr>
          <w:lang w:val="lv-LV"/>
        </w:rPr>
        <w:tab/>
        <w:t>PĀRDEVĒJS  atbild par piegādātās PRECES kvalitāti un sedz PASŪTĪTĀJAM  visus pierādītos ar PRECES neatbilstību kvalitātei saistītos zaudējumus.</w:t>
      </w:r>
    </w:p>
    <w:p w:rsidR="00BD386B" w:rsidRDefault="00BD386B" w:rsidP="00BD386B">
      <w:pPr>
        <w:tabs>
          <w:tab w:val="left" w:pos="720"/>
        </w:tabs>
        <w:ind w:left="720" w:right="-2" w:hanging="720"/>
        <w:jc w:val="both"/>
        <w:rPr>
          <w:lang w:val="lv-LV"/>
        </w:rPr>
      </w:pPr>
    </w:p>
    <w:p w:rsidR="00BD386B" w:rsidRDefault="00BD386B" w:rsidP="00BD386B">
      <w:pPr>
        <w:numPr>
          <w:ilvl w:val="0"/>
          <w:numId w:val="3"/>
        </w:numPr>
        <w:ind w:left="1620" w:right="-2" w:hanging="720"/>
        <w:jc w:val="center"/>
        <w:rPr>
          <w:b/>
          <w:lang w:val="lv-LV"/>
        </w:rPr>
      </w:pPr>
      <w:r>
        <w:rPr>
          <w:b/>
          <w:lang w:val="lv-LV"/>
        </w:rPr>
        <w:t>LĪGUMA GROZĪŠANAS KĀRTĪBA UN KĀRTĪBA, KĀDĀ PIEĻAUJAMA ATKĀPŠANĀS NO LĪGUMA</w:t>
      </w:r>
    </w:p>
    <w:p w:rsidR="00BD386B" w:rsidRDefault="00BD386B" w:rsidP="00BD386B">
      <w:pPr>
        <w:ind w:left="1620" w:right="-2"/>
        <w:rPr>
          <w:b/>
          <w:lang w:val="lv-LV"/>
        </w:rPr>
      </w:pPr>
    </w:p>
    <w:p w:rsidR="00BD386B" w:rsidRDefault="00BD386B" w:rsidP="00BD386B">
      <w:pPr>
        <w:pStyle w:val="BodyText"/>
        <w:spacing w:after="0"/>
        <w:ind w:left="720" w:right="-2" w:hanging="720"/>
      </w:pPr>
      <w:r>
        <w:t>5.1.</w:t>
      </w:r>
      <w:r>
        <w:tab/>
      </w:r>
      <w:r>
        <w:rPr>
          <w:rFonts w:ascii="Times New Roman" w:hAnsi="Times New Roman"/>
        </w:rPr>
        <w:t xml:space="preserve">PASŪTĪTĀJAM  </w:t>
      </w:r>
      <w:r>
        <w:t xml:space="preserve">ir tiesības nekavējoties pārtraukt Līgumu, ja: </w:t>
      </w:r>
    </w:p>
    <w:p w:rsidR="00BD386B" w:rsidRDefault="00BD386B" w:rsidP="00BD386B">
      <w:pPr>
        <w:pStyle w:val="BodyText"/>
        <w:tabs>
          <w:tab w:val="left" w:pos="851"/>
        </w:tabs>
        <w:spacing w:after="0"/>
        <w:ind w:right="-1192"/>
      </w:pPr>
      <w:r>
        <w:t>5.1.1.</w:t>
      </w:r>
      <w:r>
        <w:tab/>
        <w:t>ir notikusi PĀRDEVĒJA labprātīga vai piespiedu likvidācija;</w:t>
      </w:r>
    </w:p>
    <w:p w:rsidR="00BD386B" w:rsidRDefault="00BD386B" w:rsidP="00BD386B">
      <w:pPr>
        <w:pStyle w:val="BodyText"/>
        <w:tabs>
          <w:tab w:val="left" w:pos="851"/>
        </w:tabs>
        <w:spacing w:after="0"/>
        <w:ind w:right="-1192"/>
      </w:pPr>
      <w:r>
        <w:t xml:space="preserve">5.1.2. </w:t>
      </w:r>
      <w:r>
        <w:tab/>
        <w:t>pret  PĀRDEVĒJU  ir uzsākta maksātnespējas vai bankrota procedūra;</w:t>
      </w:r>
    </w:p>
    <w:p w:rsidR="00BD386B" w:rsidRDefault="00BD386B" w:rsidP="00BD386B">
      <w:pPr>
        <w:pStyle w:val="BodyText"/>
        <w:spacing w:after="0"/>
        <w:ind w:right="-2"/>
        <w:jc w:val="both"/>
      </w:pPr>
      <w:r>
        <w:t>5.1.3.</w:t>
      </w:r>
      <w:r>
        <w:tab/>
        <w:t xml:space="preserve">PĀRDEVĒJS atkārtoti ir nokavējis PRECES pārdošanas termiņus saskaņotajā laikā no </w:t>
      </w:r>
      <w:r>
        <w:rPr>
          <w:rFonts w:ascii="Times New Roman" w:hAnsi="Times New Roman"/>
        </w:rPr>
        <w:t xml:space="preserve">PASŪTĪTĀJA </w:t>
      </w:r>
      <w:r>
        <w:t>pieteikuma saņemšanas brīža;</w:t>
      </w:r>
    </w:p>
    <w:p w:rsidR="00BD386B" w:rsidRDefault="00BD386B" w:rsidP="00BD386B">
      <w:pPr>
        <w:pStyle w:val="BodyText"/>
        <w:spacing w:after="0"/>
        <w:ind w:left="851" w:right="-1192" w:hanging="851"/>
      </w:pPr>
      <w:r>
        <w:t>5.1.4.</w:t>
      </w:r>
      <w:r>
        <w:tab/>
        <w:t xml:space="preserve">ja </w:t>
      </w:r>
      <w:r>
        <w:rPr>
          <w:rFonts w:ascii="Times New Roman" w:hAnsi="Times New Roman"/>
        </w:rPr>
        <w:t xml:space="preserve">PASŪTĪTĀJS  </w:t>
      </w:r>
      <w:r>
        <w:t>nepiekrīt Līguma cenu izmaiņām;</w:t>
      </w:r>
    </w:p>
    <w:p w:rsidR="00BD386B" w:rsidRDefault="00BD386B" w:rsidP="00BD386B">
      <w:pPr>
        <w:pStyle w:val="BodyText"/>
        <w:tabs>
          <w:tab w:val="left" w:pos="0"/>
        </w:tabs>
        <w:spacing w:after="0"/>
        <w:ind w:right="-2"/>
        <w:jc w:val="both"/>
      </w:pPr>
      <w:r>
        <w:t>5.2.</w:t>
      </w:r>
      <w:r>
        <w:tab/>
        <w:t xml:space="preserve">PĀRDEVĒJAM   un </w:t>
      </w:r>
      <w:r>
        <w:rPr>
          <w:rFonts w:ascii="Times New Roman" w:hAnsi="Times New Roman"/>
        </w:rPr>
        <w:t xml:space="preserve">PASŪTĪTĀJAM  </w:t>
      </w:r>
      <w:r>
        <w:t>ir tiesības pārtraukt Līgumu, savlaicīgi par to paziņojot otrai PUSEI, ja tā pēc rakstveida atgādinājuma nepilda savas saistības.</w:t>
      </w:r>
    </w:p>
    <w:p w:rsidR="00BD386B" w:rsidRDefault="00BD386B" w:rsidP="00BD386B">
      <w:pPr>
        <w:pStyle w:val="BodyText"/>
        <w:spacing w:after="0"/>
        <w:ind w:right="-2"/>
        <w:jc w:val="both"/>
      </w:pPr>
      <w:r>
        <w:t>5.3.</w:t>
      </w:r>
      <w:r>
        <w:tab/>
        <w:t xml:space="preserve">Līguma pārtraukšana neietekmē jebkuras citas PĀRDEVĒJA   un </w:t>
      </w:r>
      <w:r>
        <w:rPr>
          <w:rFonts w:ascii="Times New Roman" w:hAnsi="Times New Roman"/>
        </w:rPr>
        <w:t xml:space="preserve">PASŪTĪTĀJA </w:t>
      </w:r>
      <w:r>
        <w:t xml:space="preserve">tiesības, kas izriet no Līguma. Līguma pārtraukšanas gadījumā </w:t>
      </w:r>
      <w:r>
        <w:rPr>
          <w:rFonts w:ascii="Times New Roman" w:hAnsi="Times New Roman"/>
        </w:rPr>
        <w:t xml:space="preserve">PASŪTĪTĀJS </w:t>
      </w:r>
      <w:r>
        <w:t xml:space="preserve">samaksā PĀRDEVĒJAM par faktiski piegādātās PRECES apjomu. </w:t>
      </w:r>
    </w:p>
    <w:p w:rsidR="00BD386B" w:rsidRDefault="00BD386B" w:rsidP="00BD386B">
      <w:pPr>
        <w:pStyle w:val="BodyText"/>
        <w:tabs>
          <w:tab w:val="left" w:pos="720"/>
        </w:tabs>
        <w:spacing w:after="0"/>
        <w:ind w:left="720" w:right="-2" w:hanging="720"/>
        <w:jc w:val="both"/>
      </w:pPr>
    </w:p>
    <w:p w:rsidR="00BD386B" w:rsidRDefault="00BD386B" w:rsidP="00BD386B">
      <w:pPr>
        <w:pStyle w:val="BodyText"/>
        <w:numPr>
          <w:ilvl w:val="0"/>
          <w:numId w:val="3"/>
        </w:numPr>
        <w:ind w:right="-1192"/>
        <w:rPr>
          <w:b/>
        </w:rPr>
      </w:pPr>
      <w:r>
        <w:rPr>
          <w:b/>
        </w:rPr>
        <w:t>PĀRĒJIE  NOTEIKUMI</w:t>
      </w:r>
    </w:p>
    <w:p w:rsidR="00BD386B" w:rsidRDefault="00BD386B" w:rsidP="00BD386B">
      <w:pPr>
        <w:pStyle w:val="BodyText"/>
        <w:tabs>
          <w:tab w:val="left" w:pos="0"/>
        </w:tabs>
        <w:ind w:right="-2"/>
        <w:jc w:val="both"/>
      </w:pPr>
      <w:r>
        <w:t xml:space="preserve">6.1. </w:t>
      </w:r>
      <w:r>
        <w:tab/>
        <w:t xml:space="preserve">Līgumā vai tā pielikumos ietvertie nosacījumi var tikt grozīti vai papildināti tikai </w:t>
      </w:r>
      <w:r>
        <w:lastRenderedPageBreak/>
        <w:t xml:space="preserve">abām  PUSĒM vai to pilnvarotiem pārstāvjiem parakstot papildus vienošanos. Visai saziņai sakarā ar šo Līgumu ir jānotiek rakstveidā. </w:t>
      </w:r>
    </w:p>
    <w:p w:rsidR="00BD386B" w:rsidRDefault="00BD386B" w:rsidP="00BD386B">
      <w:pPr>
        <w:pStyle w:val="BodyText"/>
        <w:tabs>
          <w:tab w:val="left" w:pos="0"/>
        </w:tabs>
        <w:ind w:right="-2"/>
        <w:jc w:val="both"/>
      </w:pPr>
      <w:r>
        <w:t xml:space="preserve">6.2. </w:t>
      </w:r>
      <w:r>
        <w:tab/>
        <w:t>Nevienai PUSEI nav tiesību nodot trešajai personai savas Līguma tiesības un pienākumus bez PUŠU rakstiskas vienošanās.</w:t>
      </w:r>
    </w:p>
    <w:p w:rsidR="00BD386B" w:rsidRDefault="00BD386B" w:rsidP="00BD386B">
      <w:pPr>
        <w:pStyle w:val="BodyText"/>
        <w:tabs>
          <w:tab w:val="left" w:pos="0"/>
        </w:tabs>
        <w:ind w:right="-2"/>
        <w:jc w:val="both"/>
      </w:pPr>
      <w:r>
        <w:t xml:space="preserve">6.3. </w:t>
      </w:r>
      <w:r>
        <w:tab/>
        <w:t>Par jautājumiem, kas nav atrunāti šajā Līgumā, PUSES vadās no Latvijas Republikā spēkā esošajiem normatīvajiem aktiem.</w:t>
      </w:r>
    </w:p>
    <w:p w:rsidR="00BD386B" w:rsidRDefault="00BD386B" w:rsidP="00BD386B">
      <w:pPr>
        <w:pStyle w:val="BodyText"/>
        <w:tabs>
          <w:tab w:val="left" w:pos="720"/>
        </w:tabs>
        <w:ind w:left="720" w:right="-2" w:hanging="720"/>
      </w:pPr>
      <w:r>
        <w:t xml:space="preserve">6.4. </w:t>
      </w:r>
      <w:r>
        <w:tab/>
        <w:t>Pilnvarotās personas  šī Līguma saistību izpildīšanā:</w:t>
      </w:r>
    </w:p>
    <w:p w:rsidR="00BD386B" w:rsidRDefault="00BD386B" w:rsidP="00BD386B">
      <w:pPr>
        <w:numPr>
          <w:ilvl w:val="2"/>
          <w:numId w:val="4"/>
        </w:numPr>
        <w:ind w:right="-2"/>
        <w:jc w:val="both"/>
        <w:rPr>
          <w:lang w:val="lv-LV"/>
        </w:rPr>
      </w:pPr>
      <w:r>
        <w:rPr>
          <w:lang w:val="lv-LV"/>
        </w:rPr>
        <w:t>no P</w:t>
      </w:r>
      <w:r w:rsidR="008E4DDA">
        <w:rPr>
          <w:lang w:val="lv-LV"/>
        </w:rPr>
        <w:t>SŪTĪTĀJA puses: Irēna Gžibovska, tālr. 29465766.</w:t>
      </w:r>
    </w:p>
    <w:p w:rsidR="00BD386B" w:rsidRDefault="00BD386B" w:rsidP="00BD386B">
      <w:pPr>
        <w:numPr>
          <w:ilvl w:val="2"/>
          <w:numId w:val="4"/>
        </w:numPr>
        <w:ind w:right="-2"/>
        <w:jc w:val="both"/>
        <w:rPr>
          <w:lang w:val="lv-LV"/>
        </w:rPr>
      </w:pPr>
      <w:r>
        <w:rPr>
          <w:lang w:val="lv-LV"/>
        </w:rPr>
        <w:t>no P</w:t>
      </w:r>
      <w:r w:rsidR="008E4DDA">
        <w:rPr>
          <w:lang w:val="lv-LV"/>
        </w:rPr>
        <w:t>ĀRDEVĒJA puses: Raitis Lucatnieks, tālr. 29344579.</w:t>
      </w:r>
    </w:p>
    <w:p w:rsidR="00BD386B" w:rsidRDefault="00BD386B" w:rsidP="00BD386B">
      <w:pPr>
        <w:pStyle w:val="BodyText"/>
        <w:tabs>
          <w:tab w:val="left" w:pos="0"/>
        </w:tabs>
        <w:ind w:right="-2"/>
      </w:pPr>
      <w:r>
        <w:t xml:space="preserve">6.5. </w:t>
      </w:r>
      <w:r>
        <w:tab/>
        <w:t>Juridiskās adreses vai bankas rekvizītu maiņas gadījumā, PUŠU pienākums ir 7(septiņu) dienu laikā paziņot par to otrai PUSEI.</w:t>
      </w:r>
    </w:p>
    <w:p w:rsidR="00BD386B" w:rsidRDefault="00BD386B" w:rsidP="00BD386B">
      <w:pPr>
        <w:pStyle w:val="BodyText"/>
        <w:widowControl/>
        <w:numPr>
          <w:ilvl w:val="1"/>
          <w:numId w:val="5"/>
        </w:numPr>
        <w:tabs>
          <w:tab w:val="clear" w:pos="360"/>
          <w:tab w:val="num" w:pos="0"/>
          <w:tab w:val="left" w:pos="720"/>
        </w:tabs>
        <w:suppressAutoHyphens w:val="0"/>
        <w:spacing w:after="0"/>
        <w:ind w:left="0" w:right="-2" w:firstLine="0"/>
        <w:jc w:val="both"/>
      </w:pPr>
      <w:r>
        <w:t xml:space="preserve">      PUŠU domstarpības, kas saistītas ar Līguma izpildi, tiek risinātas   vienošanās ceļā. Vienošanās tiek noformēta rakstiski.</w:t>
      </w:r>
    </w:p>
    <w:p w:rsidR="00BD386B" w:rsidRDefault="00BD386B" w:rsidP="00BD386B">
      <w:pPr>
        <w:pStyle w:val="BodyText"/>
        <w:widowControl/>
        <w:numPr>
          <w:ilvl w:val="1"/>
          <w:numId w:val="5"/>
        </w:numPr>
        <w:tabs>
          <w:tab w:val="left" w:pos="0"/>
        </w:tabs>
        <w:suppressAutoHyphens w:val="0"/>
        <w:spacing w:after="0"/>
        <w:ind w:left="0" w:right="-2" w:firstLine="0"/>
        <w:jc w:val="both"/>
      </w:pPr>
      <w:r>
        <w:t xml:space="preserve">      Ja radušos strīdu PUSES neatrisina vienošanas ceļā, to nodod izskatīšanai tiesā Latvijas Republikas  normatīvajos aktos paredzētajā kārtība.</w:t>
      </w:r>
    </w:p>
    <w:p w:rsidR="00BD386B" w:rsidRDefault="00BD386B" w:rsidP="00BD386B">
      <w:pPr>
        <w:pStyle w:val="BodyText"/>
        <w:widowControl/>
        <w:numPr>
          <w:ilvl w:val="1"/>
          <w:numId w:val="5"/>
        </w:numPr>
        <w:tabs>
          <w:tab w:val="left" w:pos="0"/>
        </w:tabs>
        <w:suppressAutoHyphens w:val="0"/>
        <w:spacing w:after="0"/>
        <w:ind w:left="0" w:right="-2" w:firstLine="0"/>
        <w:jc w:val="both"/>
      </w:pPr>
      <w:r>
        <w:t xml:space="preserve">      Gadījumā, ja Līguma darbības laikā notiks </w:t>
      </w:r>
      <w:r>
        <w:rPr>
          <w:rFonts w:ascii="Times New Roman" w:hAnsi="Times New Roman"/>
        </w:rPr>
        <w:t xml:space="preserve">PASŪTĪTĀJA </w:t>
      </w:r>
      <w:r>
        <w:t>vai PĀRDEVĒJA   reorganizācija, tā tiesības un pienākumus realizēs tiesību un saistību pārņēmējs, informējot par to otru PUSI.</w:t>
      </w:r>
    </w:p>
    <w:p w:rsidR="00BD386B" w:rsidRDefault="00BD386B" w:rsidP="00BD386B">
      <w:pPr>
        <w:pStyle w:val="BodyText"/>
        <w:widowControl/>
        <w:numPr>
          <w:ilvl w:val="1"/>
          <w:numId w:val="5"/>
        </w:numPr>
        <w:tabs>
          <w:tab w:val="left" w:pos="0"/>
        </w:tabs>
        <w:suppressAutoHyphens w:val="0"/>
        <w:spacing w:after="0"/>
        <w:ind w:left="0" w:right="-2" w:firstLine="0"/>
        <w:jc w:val="both"/>
      </w:pPr>
      <w:r>
        <w:t xml:space="preserve">      Līguma neatņemama sastāvdaļa ir Līguma pielikumi, grozījumi un papildinājumi, ja tādi būs, kā arī PREČU pieņemšanas un nodošanas akti.</w:t>
      </w:r>
    </w:p>
    <w:p w:rsidR="00BD386B" w:rsidRDefault="00BD386B" w:rsidP="00BD386B">
      <w:pPr>
        <w:pStyle w:val="BodyText"/>
        <w:widowControl/>
        <w:numPr>
          <w:ilvl w:val="1"/>
          <w:numId w:val="5"/>
        </w:numPr>
        <w:tabs>
          <w:tab w:val="left" w:pos="720"/>
        </w:tabs>
        <w:suppressAutoHyphens w:val="0"/>
        <w:spacing w:after="0"/>
        <w:ind w:left="720" w:right="-2" w:hanging="720"/>
        <w:jc w:val="both"/>
      </w:pPr>
      <w:r>
        <w:t>Līgumam pievienots pielikums: Tehniskā specifikācija un cenas.</w:t>
      </w:r>
    </w:p>
    <w:p w:rsidR="00BD386B" w:rsidRDefault="00BD386B" w:rsidP="00BD386B">
      <w:pPr>
        <w:pStyle w:val="BodyText"/>
        <w:widowControl/>
        <w:numPr>
          <w:ilvl w:val="1"/>
          <w:numId w:val="5"/>
        </w:numPr>
        <w:tabs>
          <w:tab w:val="left" w:pos="0"/>
        </w:tabs>
        <w:suppressAutoHyphens w:val="0"/>
        <w:spacing w:after="0"/>
        <w:ind w:left="0" w:right="-2" w:firstLine="0"/>
        <w:jc w:val="both"/>
      </w:pPr>
      <w:r>
        <w:t>Līgum</w:t>
      </w:r>
      <w:r w:rsidR="008E4DDA">
        <w:t>s sastādīts uz 3 (trīs</w:t>
      </w:r>
      <w:r>
        <w:t>) lpp., divos eksemplāros, pa vienam katrai PUSEI, abiem eksemplāriem ir vienāds juridiskais spēks.</w:t>
      </w:r>
    </w:p>
    <w:p w:rsidR="00BD386B" w:rsidRDefault="00BD386B" w:rsidP="00BD386B">
      <w:pPr>
        <w:pStyle w:val="BodyText"/>
        <w:widowControl/>
        <w:tabs>
          <w:tab w:val="left" w:pos="720"/>
        </w:tabs>
        <w:suppressAutoHyphens w:val="0"/>
        <w:spacing w:after="0"/>
        <w:ind w:left="720" w:right="-2"/>
        <w:jc w:val="both"/>
      </w:pPr>
    </w:p>
    <w:p w:rsidR="00BD386B" w:rsidRDefault="00BD386B" w:rsidP="00BD386B">
      <w:pPr>
        <w:pStyle w:val="BodyText"/>
        <w:widowControl/>
        <w:numPr>
          <w:ilvl w:val="0"/>
          <w:numId w:val="5"/>
        </w:numPr>
        <w:tabs>
          <w:tab w:val="left" w:pos="720"/>
        </w:tabs>
        <w:suppressAutoHyphens w:val="0"/>
        <w:spacing w:after="0"/>
        <w:ind w:right="-2"/>
        <w:jc w:val="center"/>
        <w:rPr>
          <w:b/>
        </w:rPr>
      </w:pPr>
      <w:r>
        <w:rPr>
          <w:b/>
        </w:rPr>
        <w:t>PUŠU REKVIZĪTI</w:t>
      </w:r>
    </w:p>
    <w:p w:rsidR="008E4DDA" w:rsidRDefault="008E4DDA" w:rsidP="008E4DDA">
      <w:pPr>
        <w:pStyle w:val="BodyText"/>
        <w:widowControl/>
        <w:tabs>
          <w:tab w:val="left" w:pos="720"/>
        </w:tabs>
        <w:suppressAutoHyphens w:val="0"/>
        <w:spacing w:after="0"/>
        <w:ind w:left="360" w:right="-2"/>
        <w:rPr>
          <w:b/>
        </w:rPr>
      </w:pPr>
    </w:p>
    <w:p w:rsidR="00BD386B" w:rsidRDefault="00BD386B" w:rsidP="00BD386B">
      <w:pPr>
        <w:pStyle w:val="BodyText"/>
        <w:widowControl/>
        <w:tabs>
          <w:tab w:val="left" w:pos="720"/>
        </w:tabs>
        <w:suppressAutoHyphens w:val="0"/>
        <w:spacing w:after="0"/>
        <w:ind w:right="-2"/>
        <w:rPr>
          <w:b/>
        </w:rPr>
      </w:pPr>
      <w:r>
        <w:rPr>
          <w:b/>
        </w:rPr>
        <w:t>PASŪTĪTĀJS:                                            PĀRDEVĒJS:</w:t>
      </w:r>
    </w:p>
    <w:tbl>
      <w:tblPr>
        <w:tblpPr w:leftFromText="180" w:rightFromText="180" w:vertAnchor="text" w:horzAnchor="margin" w:tblpX="108" w:tblpY="189"/>
        <w:tblW w:w="8895" w:type="dxa"/>
        <w:tblLayout w:type="fixed"/>
        <w:tblLook w:val="04A0" w:firstRow="1" w:lastRow="0" w:firstColumn="1" w:lastColumn="0" w:noHBand="0" w:noVBand="1"/>
      </w:tblPr>
      <w:tblGrid>
        <w:gridCol w:w="4221"/>
        <w:gridCol w:w="4674"/>
      </w:tblGrid>
      <w:tr w:rsidR="00BD386B" w:rsidTr="00BD386B">
        <w:tc>
          <w:tcPr>
            <w:tcW w:w="4222" w:type="dxa"/>
          </w:tcPr>
          <w:p w:rsidR="00BD386B" w:rsidRDefault="00BD386B">
            <w:pPr>
              <w:rPr>
                <w:b/>
              </w:rPr>
            </w:pPr>
          </w:p>
          <w:p w:rsidR="00BD386B" w:rsidRDefault="00BD386B">
            <w:pPr>
              <w:rPr>
                <w:b/>
              </w:rPr>
            </w:pPr>
            <w:proofErr w:type="spellStart"/>
            <w:r>
              <w:rPr>
                <w:b/>
              </w:rPr>
              <w:t>Rēzeknes</w:t>
            </w:r>
            <w:proofErr w:type="spellEnd"/>
            <w:r>
              <w:rPr>
                <w:b/>
              </w:rPr>
              <w:t xml:space="preserve"> </w:t>
            </w:r>
            <w:proofErr w:type="spellStart"/>
            <w:r>
              <w:rPr>
                <w:b/>
              </w:rPr>
              <w:t>novada</w:t>
            </w:r>
            <w:proofErr w:type="spellEnd"/>
            <w:r>
              <w:rPr>
                <w:b/>
              </w:rPr>
              <w:t xml:space="preserve"> </w:t>
            </w:r>
            <w:proofErr w:type="spellStart"/>
            <w:r>
              <w:rPr>
                <w:b/>
              </w:rPr>
              <w:t>pašvaldības</w:t>
            </w:r>
            <w:proofErr w:type="spellEnd"/>
            <w:r>
              <w:rPr>
                <w:b/>
              </w:rPr>
              <w:t xml:space="preserve"> </w:t>
            </w:r>
          </w:p>
          <w:p w:rsidR="00BD386B" w:rsidRDefault="00BD386B">
            <w:pPr>
              <w:rPr>
                <w:b/>
              </w:rPr>
            </w:pPr>
            <w:proofErr w:type="spellStart"/>
            <w:r>
              <w:rPr>
                <w:b/>
              </w:rPr>
              <w:t>Griškānu</w:t>
            </w:r>
            <w:proofErr w:type="spellEnd"/>
            <w:r>
              <w:rPr>
                <w:b/>
              </w:rPr>
              <w:t xml:space="preserve"> </w:t>
            </w:r>
            <w:proofErr w:type="spellStart"/>
            <w:r>
              <w:rPr>
                <w:b/>
              </w:rPr>
              <w:t>pagasta</w:t>
            </w:r>
            <w:proofErr w:type="spellEnd"/>
            <w:r>
              <w:rPr>
                <w:b/>
              </w:rPr>
              <w:t xml:space="preserve"> </w:t>
            </w:r>
            <w:proofErr w:type="spellStart"/>
            <w:r>
              <w:rPr>
                <w:b/>
              </w:rPr>
              <w:t>pārvalde</w:t>
            </w:r>
            <w:proofErr w:type="spellEnd"/>
            <w:r>
              <w:rPr>
                <w:b/>
              </w:rPr>
              <w:t xml:space="preserve">    </w:t>
            </w:r>
          </w:p>
        </w:tc>
        <w:tc>
          <w:tcPr>
            <w:tcW w:w="4675" w:type="dxa"/>
            <w:hideMark/>
          </w:tcPr>
          <w:p w:rsidR="00BD386B" w:rsidRDefault="008E4DDA">
            <w:pPr>
              <w:rPr>
                <w:b/>
              </w:rPr>
            </w:pPr>
            <w:proofErr w:type="spellStart"/>
            <w:r>
              <w:rPr>
                <w:b/>
              </w:rPr>
              <w:t>Sabiedrība</w:t>
            </w:r>
            <w:proofErr w:type="spellEnd"/>
            <w:r>
              <w:rPr>
                <w:b/>
              </w:rPr>
              <w:t xml:space="preserve"> </w:t>
            </w:r>
            <w:proofErr w:type="spellStart"/>
            <w:r>
              <w:rPr>
                <w:b/>
              </w:rPr>
              <w:t>ar</w:t>
            </w:r>
            <w:proofErr w:type="spellEnd"/>
            <w:r>
              <w:rPr>
                <w:b/>
              </w:rPr>
              <w:t xml:space="preserve"> </w:t>
            </w:r>
            <w:proofErr w:type="spellStart"/>
            <w:r>
              <w:rPr>
                <w:b/>
              </w:rPr>
              <w:t>ierobežotu</w:t>
            </w:r>
            <w:proofErr w:type="spellEnd"/>
            <w:r>
              <w:rPr>
                <w:b/>
              </w:rPr>
              <w:t xml:space="preserve"> </w:t>
            </w:r>
            <w:proofErr w:type="spellStart"/>
            <w:r>
              <w:rPr>
                <w:b/>
              </w:rPr>
              <w:t>atbildību</w:t>
            </w:r>
            <w:proofErr w:type="spellEnd"/>
            <w:r>
              <w:rPr>
                <w:b/>
              </w:rPr>
              <w:t xml:space="preserve"> “DAKO”</w:t>
            </w:r>
          </w:p>
        </w:tc>
      </w:tr>
      <w:tr w:rsidR="00BD386B" w:rsidTr="00BD386B">
        <w:trPr>
          <w:trHeight w:val="1972"/>
        </w:trPr>
        <w:tc>
          <w:tcPr>
            <w:tcW w:w="4222" w:type="dxa"/>
            <w:hideMark/>
          </w:tcPr>
          <w:p w:rsidR="00BD386B" w:rsidRPr="00CB7706" w:rsidRDefault="008E4DDA" w:rsidP="00CB7706">
            <w:pPr>
              <w:pStyle w:val="BodyTextIndent"/>
              <w:ind w:left="0" w:right="49"/>
            </w:pPr>
            <w:r>
              <w:rPr>
                <w:sz w:val="24"/>
              </w:rPr>
              <w:t>reģ.</w:t>
            </w:r>
            <w:r w:rsidR="00CB7706">
              <w:rPr>
                <w:sz w:val="24"/>
              </w:rPr>
              <w:t xml:space="preserve"> </w:t>
            </w:r>
            <w:r w:rsidR="00BD386B" w:rsidRPr="00CB7706">
              <w:t>.</w:t>
            </w:r>
          </w:p>
          <w:p w:rsidR="00BD386B" w:rsidRDefault="00BD386B">
            <w:pPr>
              <w:pStyle w:val="BodyTextIndent"/>
              <w:ind w:left="0"/>
              <w:rPr>
                <w:iCs/>
                <w:sz w:val="24"/>
              </w:rPr>
            </w:pPr>
            <w:r>
              <w:rPr>
                <w:iCs/>
                <w:sz w:val="24"/>
              </w:rPr>
              <w:t>____________________________</w:t>
            </w:r>
          </w:p>
          <w:p w:rsidR="00BD386B" w:rsidRDefault="00CB35FF">
            <w:pPr>
              <w:pStyle w:val="BodyTextIndent"/>
              <w:ind w:left="0"/>
              <w:rPr>
                <w:iCs/>
                <w:sz w:val="24"/>
              </w:rPr>
            </w:pPr>
            <w:r>
              <w:rPr>
                <w:iCs/>
                <w:sz w:val="24"/>
              </w:rPr>
              <w:t xml:space="preserve">Pārvapārvaldes </w:t>
            </w:r>
            <w:r w:rsidR="00BD386B">
              <w:rPr>
                <w:iCs/>
                <w:sz w:val="24"/>
              </w:rPr>
              <w:t xml:space="preserve">vadītāja </w:t>
            </w:r>
            <w:r w:rsidR="00CB7706">
              <w:rPr>
                <w:iCs/>
                <w:sz w:val="24"/>
              </w:rPr>
              <w:t xml:space="preserve"> </w:t>
            </w:r>
          </w:p>
          <w:p w:rsidR="00BD386B" w:rsidRDefault="00BD386B">
            <w:pPr>
              <w:pStyle w:val="Caption"/>
              <w:ind w:right="2"/>
              <w:rPr>
                <w:iCs w:val="0"/>
                <w:sz w:val="24"/>
                <w:szCs w:val="24"/>
              </w:rPr>
            </w:pPr>
            <w:r>
              <w:rPr>
                <w:iCs w:val="0"/>
                <w:sz w:val="24"/>
                <w:szCs w:val="24"/>
              </w:rPr>
              <w:t>z.v.</w:t>
            </w:r>
          </w:p>
        </w:tc>
        <w:tc>
          <w:tcPr>
            <w:tcW w:w="4675" w:type="dxa"/>
          </w:tcPr>
          <w:p w:rsidR="00BD386B" w:rsidRPr="008E4DDA" w:rsidRDefault="00CB7706">
            <w:pPr>
              <w:pStyle w:val="Caption"/>
              <w:ind w:right="2"/>
              <w:rPr>
                <w:i w:val="0"/>
                <w:iCs w:val="0"/>
                <w:sz w:val="24"/>
                <w:szCs w:val="24"/>
              </w:rPr>
            </w:pPr>
            <w:r>
              <w:rPr>
                <w:i w:val="0"/>
                <w:iCs w:val="0"/>
                <w:sz w:val="24"/>
                <w:szCs w:val="24"/>
              </w:rPr>
              <w:t xml:space="preserve"> </w:t>
            </w:r>
          </w:p>
          <w:p w:rsidR="00BD386B" w:rsidRPr="008E4DDA" w:rsidRDefault="00BD386B">
            <w:pPr>
              <w:pStyle w:val="Caption"/>
              <w:ind w:right="2"/>
              <w:rPr>
                <w:i w:val="0"/>
                <w:iCs w:val="0"/>
                <w:sz w:val="24"/>
                <w:szCs w:val="24"/>
              </w:rPr>
            </w:pPr>
            <w:r w:rsidRPr="008E4DDA">
              <w:rPr>
                <w:i w:val="0"/>
                <w:iCs w:val="0"/>
                <w:sz w:val="24"/>
                <w:szCs w:val="24"/>
              </w:rPr>
              <w:t>_____________________________</w:t>
            </w:r>
          </w:p>
          <w:p w:rsidR="00BD386B" w:rsidRPr="008E4DDA" w:rsidRDefault="00CB35FF">
            <w:pPr>
              <w:pStyle w:val="Caption"/>
              <w:ind w:right="2"/>
              <w:jc w:val="both"/>
              <w:rPr>
                <w:i w:val="0"/>
                <w:iCs w:val="0"/>
                <w:sz w:val="24"/>
                <w:szCs w:val="24"/>
              </w:rPr>
            </w:pPr>
            <w:r>
              <w:rPr>
                <w:i w:val="0"/>
                <w:iCs w:val="0"/>
                <w:sz w:val="24"/>
                <w:szCs w:val="24"/>
              </w:rPr>
              <w:t xml:space="preserve">Valdes loceklis </w:t>
            </w:r>
            <w:r w:rsidR="00CB7706">
              <w:rPr>
                <w:i w:val="0"/>
                <w:iCs w:val="0"/>
                <w:sz w:val="24"/>
                <w:szCs w:val="24"/>
              </w:rPr>
              <w:t xml:space="preserve"> </w:t>
            </w:r>
            <w:bookmarkStart w:id="0" w:name="_GoBack"/>
            <w:bookmarkEnd w:id="0"/>
          </w:p>
          <w:p w:rsidR="00BD386B" w:rsidRDefault="00BD386B">
            <w:pPr>
              <w:pStyle w:val="BodyTextIndent"/>
              <w:ind w:left="84" w:right="2" w:hanging="84"/>
              <w:rPr>
                <w:iCs/>
                <w:sz w:val="24"/>
              </w:rPr>
            </w:pPr>
            <w:r>
              <w:rPr>
                <w:sz w:val="24"/>
              </w:rPr>
              <w:t>z.v.</w:t>
            </w:r>
          </w:p>
        </w:tc>
      </w:tr>
    </w:tbl>
    <w:p w:rsidR="006A1508" w:rsidRDefault="006A1508"/>
    <w:sectPr w:rsidR="006A1508" w:rsidSect="008E4DDA">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38" w:rsidRDefault="00E83A38" w:rsidP="008E4DDA">
      <w:r>
        <w:separator/>
      </w:r>
    </w:p>
  </w:endnote>
  <w:endnote w:type="continuationSeparator" w:id="0">
    <w:p w:rsidR="00E83A38" w:rsidRDefault="00E83A38" w:rsidP="008E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BA"/>
    <w:family w:val="auto"/>
    <w:notTrueType/>
    <w:pitch w:val="default"/>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38" w:rsidRDefault="00E83A38" w:rsidP="008E4DDA">
      <w:r>
        <w:separator/>
      </w:r>
    </w:p>
  </w:footnote>
  <w:footnote w:type="continuationSeparator" w:id="0">
    <w:p w:rsidR="00E83A38" w:rsidRDefault="00E83A38" w:rsidP="008E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54440"/>
      <w:docPartObj>
        <w:docPartGallery w:val="Page Numbers (Top of Page)"/>
        <w:docPartUnique/>
      </w:docPartObj>
    </w:sdtPr>
    <w:sdtEndPr>
      <w:rPr>
        <w:noProof/>
      </w:rPr>
    </w:sdtEndPr>
    <w:sdtContent>
      <w:p w:rsidR="008E4DDA" w:rsidRDefault="008E4DDA">
        <w:pPr>
          <w:pStyle w:val="Header"/>
          <w:jc w:val="right"/>
        </w:pPr>
        <w:r>
          <w:fldChar w:fldCharType="begin"/>
        </w:r>
        <w:r>
          <w:instrText xml:space="preserve"> PAGE   \* MERGEFORMAT </w:instrText>
        </w:r>
        <w:r>
          <w:fldChar w:fldCharType="separate"/>
        </w:r>
        <w:r w:rsidR="00CB7706">
          <w:rPr>
            <w:noProof/>
          </w:rPr>
          <w:t>3</w:t>
        </w:r>
        <w:r>
          <w:rPr>
            <w:noProof/>
          </w:rPr>
          <w:fldChar w:fldCharType="end"/>
        </w:r>
      </w:p>
    </w:sdtContent>
  </w:sdt>
  <w:p w:rsidR="008E4DDA" w:rsidRDefault="008E4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CA21546"/>
    <w:multiLevelType w:val="hybridMultilevel"/>
    <w:tmpl w:val="3A2AC7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4">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6B"/>
    <w:rsid w:val="003B3F53"/>
    <w:rsid w:val="006A1508"/>
    <w:rsid w:val="008E4DDA"/>
    <w:rsid w:val="00BD386B"/>
    <w:rsid w:val="00CB35FF"/>
    <w:rsid w:val="00CB7706"/>
    <w:rsid w:val="00E83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6B"/>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BD386B"/>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BD386B"/>
    <w:pPr>
      <w:keepNext/>
      <w:widowControl w:val="0"/>
      <w:suppressAutoHyphens/>
      <w:autoSpaceDE w:val="0"/>
      <w:jc w:val="both"/>
      <w:outlineLvl w:val="1"/>
    </w:pPr>
    <w:rPr>
      <w:rFonts w:eastAsia="Lucida Sans Unicode"/>
      <w:color w:val="000000"/>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86B"/>
    <w:rPr>
      <w:rFonts w:ascii="Arial" w:eastAsia="Lucida Sans Unicode" w:hAnsi="Arial" w:cs="Arial"/>
      <w:color w:val="000000"/>
      <w:kern w:val="2"/>
      <w:sz w:val="32"/>
      <w:szCs w:val="32"/>
      <w:lang w:eastAsia="ar-SA"/>
    </w:rPr>
  </w:style>
  <w:style w:type="character" w:customStyle="1" w:styleId="Heading2Char">
    <w:name w:val="Heading 2 Char"/>
    <w:basedOn w:val="DefaultParagraphFont"/>
    <w:link w:val="Heading2"/>
    <w:semiHidden/>
    <w:rsid w:val="00BD386B"/>
    <w:rPr>
      <w:rFonts w:ascii="Times New Roman" w:eastAsia="Lucida Sans Unicode" w:hAnsi="Times New Roman" w:cs="Times New Roman"/>
      <w:color w:val="000000"/>
      <w:sz w:val="24"/>
      <w:szCs w:val="28"/>
      <w:lang w:eastAsia="ar-SA"/>
    </w:rPr>
  </w:style>
  <w:style w:type="paragraph" w:styleId="Caption">
    <w:name w:val="caption"/>
    <w:basedOn w:val="Normal"/>
    <w:semiHidden/>
    <w:unhideWhenUsed/>
    <w:qFormat/>
    <w:rsid w:val="00BD386B"/>
    <w:pPr>
      <w:widowControl w:val="0"/>
      <w:suppressLineNumbers/>
      <w:suppressAutoHyphens/>
      <w:spacing w:before="120" w:after="120"/>
    </w:pPr>
    <w:rPr>
      <w:rFonts w:eastAsia="Lucida Sans Unicode" w:cs="Tahoma"/>
      <w:i/>
      <w:iCs/>
      <w:color w:val="000000"/>
      <w:sz w:val="20"/>
      <w:szCs w:val="20"/>
      <w:lang w:val="lv-LV" w:eastAsia="ar-SA"/>
    </w:rPr>
  </w:style>
  <w:style w:type="character" w:customStyle="1" w:styleId="BodyTextChar">
    <w:name w:val="Body Text Char"/>
    <w:aliases w:val="Body Text1 Char"/>
    <w:basedOn w:val="DefaultParagraphFont"/>
    <w:link w:val="BodyText"/>
    <w:semiHidden/>
    <w:locked/>
    <w:rsid w:val="00BD386B"/>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BD386B"/>
    <w:pPr>
      <w:widowControl w:val="0"/>
      <w:suppressAutoHyphens/>
      <w:spacing w:after="120"/>
    </w:pPr>
    <w:rPr>
      <w:rFonts w:ascii="RimTimes" w:eastAsia="Lucida Sans Unicode" w:hAnsi="RimTimes" w:cstheme="minorBidi"/>
      <w:color w:val="000000"/>
      <w:lang w:val="lv-LV" w:eastAsia="ar-SA"/>
    </w:rPr>
  </w:style>
  <w:style w:type="character" w:customStyle="1" w:styleId="BodyTextChar1">
    <w:name w:val="Body Text Char1"/>
    <w:basedOn w:val="DefaultParagraphFont"/>
    <w:uiPriority w:val="99"/>
    <w:semiHidden/>
    <w:rsid w:val="00BD386B"/>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BD386B"/>
    <w:pPr>
      <w:ind w:left="720" w:hanging="720"/>
    </w:pPr>
    <w:rPr>
      <w:sz w:val="22"/>
      <w:lang w:val="lv-LV"/>
    </w:rPr>
  </w:style>
  <w:style w:type="character" w:customStyle="1" w:styleId="BodyTextIndentChar">
    <w:name w:val="Body Text Indent Char"/>
    <w:basedOn w:val="DefaultParagraphFont"/>
    <w:link w:val="BodyTextIndent"/>
    <w:rsid w:val="00BD386B"/>
    <w:rPr>
      <w:rFonts w:ascii="Times New Roman" w:eastAsia="Times New Roman" w:hAnsi="Times New Roman" w:cs="Times New Roman"/>
      <w:szCs w:val="24"/>
    </w:rPr>
  </w:style>
  <w:style w:type="paragraph" w:styleId="ListParagraph">
    <w:name w:val="List Paragraph"/>
    <w:basedOn w:val="Normal"/>
    <w:uiPriority w:val="34"/>
    <w:qFormat/>
    <w:rsid w:val="008E4DDA"/>
    <w:pPr>
      <w:ind w:left="720"/>
      <w:contextualSpacing/>
    </w:pPr>
  </w:style>
  <w:style w:type="paragraph" w:styleId="Header">
    <w:name w:val="header"/>
    <w:basedOn w:val="Normal"/>
    <w:link w:val="HeaderChar"/>
    <w:uiPriority w:val="99"/>
    <w:unhideWhenUsed/>
    <w:rsid w:val="008E4DDA"/>
    <w:pPr>
      <w:tabs>
        <w:tab w:val="center" w:pos="4153"/>
        <w:tab w:val="right" w:pos="8306"/>
      </w:tabs>
    </w:pPr>
  </w:style>
  <w:style w:type="character" w:customStyle="1" w:styleId="HeaderChar">
    <w:name w:val="Header Char"/>
    <w:basedOn w:val="DefaultParagraphFont"/>
    <w:link w:val="Header"/>
    <w:uiPriority w:val="99"/>
    <w:rsid w:val="008E4D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DDA"/>
    <w:pPr>
      <w:tabs>
        <w:tab w:val="center" w:pos="4153"/>
        <w:tab w:val="right" w:pos="8306"/>
      </w:tabs>
    </w:pPr>
  </w:style>
  <w:style w:type="character" w:customStyle="1" w:styleId="FooterChar">
    <w:name w:val="Footer Char"/>
    <w:basedOn w:val="DefaultParagraphFont"/>
    <w:link w:val="Footer"/>
    <w:uiPriority w:val="99"/>
    <w:rsid w:val="008E4DD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FF"/>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6B"/>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BD386B"/>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BD386B"/>
    <w:pPr>
      <w:keepNext/>
      <w:widowControl w:val="0"/>
      <w:suppressAutoHyphens/>
      <w:autoSpaceDE w:val="0"/>
      <w:jc w:val="both"/>
      <w:outlineLvl w:val="1"/>
    </w:pPr>
    <w:rPr>
      <w:rFonts w:eastAsia="Lucida Sans Unicode"/>
      <w:color w:val="000000"/>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D386B"/>
    <w:rPr>
      <w:rFonts w:ascii="Arial" w:eastAsia="Lucida Sans Unicode" w:hAnsi="Arial" w:cs="Arial"/>
      <w:color w:val="000000"/>
      <w:kern w:val="2"/>
      <w:sz w:val="32"/>
      <w:szCs w:val="32"/>
      <w:lang w:eastAsia="ar-SA"/>
    </w:rPr>
  </w:style>
  <w:style w:type="character" w:customStyle="1" w:styleId="Heading2Char">
    <w:name w:val="Heading 2 Char"/>
    <w:basedOn w:val="DefaultParagraphFont"/>
    <w:link w:val="Heading2"/>
    <w:semiHidden/>
    <w:rsid w:val="00BD386B"/>
    <w:rPr>
      <w:rFonts w:ascii="Times New Roman" w:eastAsia="Lucida Sans Unicode" w:hAnsi="Times New Roman" w:cs="Times New Roman"/>
      <w:color w:val="000000"/>
      <w:sz w:val="24"/>
      <w:szCs w:val="28"/>
      <w:lang w:eastAsia="ar-SA"/>
    </w:rPr>
  </w:style>
  <w:style w:type="paragraph" w:styleId="Caption">
    <w:name w:val="caption"/>
    <w:basedOn w:val="Normal"/>
    <w:semiHidden/>
    <w:unhideWhenUsed/>
    <w:qFormat/>
    <w:rsid w:val="00BD386B"/>
    <w:pPr>
      <w:widowControl w:val="0"/>
      <w:suppressLineNumbers/>
      <w:suppressAutoHyphens/>
      <w:spacing w:before="120" w:after="120"/>
    </w:pPr>
    <w:rPr>
      <w:rFonts w:eastAsia="Lucida Sans Unicode" w:cs="Tahoma"/>
      <w:i/>
      <w:iCs/>
      <w:color w:val="000000"/>
      <w:sz w:val="20"/>
      <w:szCs w:val="20"/>
      <w:lang w:val="lv-LV" w:eastAsia="ar-SA"/>
    </w:rPr>
  </w:style>
  <w:style w:type="character" w:customStyle="1" w:styleId="BodyTextChar">
    <w:name w:val="Body Text Char"/>
    <w:aliases w:val="Body Text1 Char"/>
    <w:basedOn w:val="DefaultParagraphFont"/>
    <w:link w:val="BodyText"/>
    <w:semiHidden/>
    <w:locked/>
    <w:rsid w:val="00BD386B"/>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BD386B"/>
    <w:pPr>
      <w:widowControl w:val="0"/>
      <w:suppressAutoHyphens/>
      <w:spacing w:after="120"/>
    </w:pPr>
    <w:rPr>
      <w:rFonts w:ascii="RimTimes" w:eastAsia="Lucida Sans Unicode" w:hAnsi="RimTimes" w:cstheme="minorBidi"/>
      <w:color w:val="000000"/>
      <w:lang w:val="lv-LV" w:eastAsia="ar-SA"/>
    </w:rPr>
  </w:style>
  <w:style w:type="character" w:customStyle="1" w:styleId="BodyTextChar1">
    <w:name w:val="Body Text Char1"/>
    <w:basedOn w:val="DefaultParagraphFont"/>
    <w:uiPriority w:val="99"/>
    <w:semiHidden/>
    <w:rsid w:val="00BD386B"/>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BD386B"/>
    <w:pPr>
      <w:ind w:left="720" w:hanging="720"/>
    </w:pPr>
    <w:rPr>
      <w:sz w:val="22"/>
      <w:lang w:val="lv-LV"/>
    </w:rPr>
  </w:style>
  <w:style w:type="character" w:customStyle="1" w:styleId="BodyTextIndentChar">
    <w:name w:val="Body Text Indent Char"/>
    <w:basedOn w:val="DefaultParagraphFont"/>
    <w:link w:val="BodyTextIndent"/>
    <w:rsid w:val="00BD386B"/>
    <w:rPr>
      <w:rFonts w:ascii="Times New Roman" w:eastAsia="Times New Roman" w:hAnsi="Times New Roman" w:cs="Times New Roman"/>
      <w:szCs w:val="24"/>
    </w:rPr>
  </w:style>
  <w:style w:type="paragraph" w:styleId="ListParagraph">
    <w:name w:val="List Paragraph"/>
    <w:basedOn w:val="Normal"/>
    <w:uiPriority w:val="34"/>
    <w:qFormat/>
    <w:rsid w:val="008E4DDA"/>
    <w:pPr>
      <w:ind w:left="720"/>
      <w:contextualSpacing/>
    </w:pPr>
  </w:style>
  <w:style w:type="paragraph" w:styleId="Header">
    <w:name w:val="header"/>
    <w:basedOn w:val="Normal"/>
    <w:link w:val="HeaderChar"/>
    <w:uiPriority w:val="99"/>
    <w:unhideWhenUsed/>
    <w:rsid w:val="008E4DDA"/>
    <w:pPr>
      <w:tabs>
        <w:tab w:val="center" w:pos="4153"/>
        <w:tab w:val="right" w:pos="8306"/>
      </w:tabs>
    </w:pPr>
  </w:style>
  <w:style w:type="character" w:customStyle="1" w:styleId="HeaderChar">
    <w:name w:val="Header Char"/>
    <w:basedOn w:val="DefaultParagraphFont"/>
    <w:link w:val="Header"/>
    <w:uiPriority w:val="99"/>
    <w:rsid w:val="008E4D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DDA"/>
    <w:pPr>
      <w:tabs>
        <w:tab w:val="center" w:pos="4153"/>
        <w:tab w:val="right" w:pos="8306"/>
      </w:tabs>
    </w:pPr>
  </w:style>
  <w:style w:type="character" w:customStyle="1" w:styleId="FooterChar">
    <w:name w:val="Footer Char"/>
    <w:basedOn w:val="DefaultParagraphFont"/>
    <w:link w:val="Footer"/>
    <w:uiPriority w:val="99"/>
    <w:rsid w:val="008E4DD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F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4956</Words>
  <Characters>2826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2015-07-30T14:27:00Z</cp:lastPrinted>
  <dcterms:created xsi:type="dcterms:W3CDTF">2015-07-31T12:46:00Z</dcterms:created>
  <dcterms:modified xsi:type="dcterms:W3CDTF">2015-07-31T12:46:00Z</dcterms:modified>
</cp:coreProperties>
</file>