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92" w:rsidRPr="004D4C88" w:rsidRDefault="00166F92" w:rsidP="00776F0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-4"/>
          <w:sz w:val="24"/>
          <w:szCs w:val="24"/>
        </w:rPr>
      </w:pPr>
      <w:r w:rsidRPr="004D4C88">
        <w:rPr>
          <w:rFonts w:ascii="Times New Roman" w:hAnsi="Times New Roman"/>
          <w:b/>
          <w:spacing w:val="-4"/>
          <w:sz w:val="24"/>
          <w:szCs w:val="24"/>
        </w:rPr>
        <w:t>APSTIPRINĀTS</w:t>
      </w:r>
    </w:p>
    <w:p w:rsidR="00166F92" w:rsidRPr="004D4C88" w:rsidRDefault="00166F92" w:rsidP="00776F06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4D4C88">
        <w:rPr>
          <w:rFonts w:ascii="Times New Roman" w:hAnsi="Times New Roman"/>
          <w:spacing w:val="-1"/>
        </w:rPr>
        <w:t>Rēzeknes novada domes</w:t>
      </w:r>
    </w:p>
    <w:p w:rsidR="004D4C88" w:rsidRPr="004D4C88" w:rsidRDefault="00166F92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</w:rPr>
      </w:pPr>
      <w:r w:rsidRPr="004D4C88">
        <w:rPr>
          <w:rFonts w:ascii="Times New Roman" w:hAnsi="Times New Roman"/>
          <w:spacing w:val="-2"/>
        </w:rPr>
        <w:t xml:space="preserve">2014.gada 20.februāra </w:t>
      </w:r>
      <w:r w:rsidRPr="004D4C88">
        <w:rPr>
          <w:rFonts w:ascii="Times New Roman" w:hAnsi="Times New Roman"/>
        </w:rPr>
        <w:t xml:space="preserve">sēdē </w:t>
      </w:r>
    </w:p>
    <w:p w:rsidR="00166F92" w:rsidRDefault="004D4C88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4D4C88">
        <w:rPr>
          <w:rFonts w:ascii="Times New Roman" w:hAnsi="Times New Roman"/>
        </w:rPr>
        <w:t>(protokols Nr.4</w:t>
      </w:r>
      <w:r w:rsidR="00166F92" w:rsidRPr="004D4C88">
        <w:rPr>
          <w:rFonts w:ascii="Times New Roman" w:hAnsi="Times New Roman"/>
        </w:rPr>
        <w:t xml:space="preserve">, </w:t>
      </w:r>
      <w:r w:rsidRPr="004D4C88">
        <w:rPr>
          <w:rFonts w:ascii="Times New Roman" w:hAnsi="Times New Roman"/>
        </w:rPr>
        <w:t>118</w:t>
      </w:r>
      <w:r w:rsidR="00166F92" w:rsidRPr="004D4C88">
        <w:rPr>
          <w:rFonts w:ascii="Times New Roman" w:hAnsi="Times New Roman"/>
        </w:rPr>
        <w:t>.</w:t>
      </w:r>
      <w:r w:rsidR="00166F92" w:rsidRPr="004D4C88">
        <w:rPr>
          <w:rFonts w:ascii="Times New Roman" w:hAnsi="Times New Roman"/>
          <w:bCs/>
        </w:rPr>
        <w:t>§)</w:t>
      </w:r>
    </w:p>
    <w:p w:rsidR="00C41CFA" w:rsidRDefault="00C41CFA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C41CFA" w:rsidRDefault="00C41CFA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 grozījumiem</w:t>
      </w:r>
    </w:p>
    <w:p w:rsidR="00C41CFA" w:rsidRDefault="00C41CFA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Rēzeknes novada domes</w:t>
      </w:r>
    </w:p>
    <w:p w:rsidR="00C41CFA" w:rsidRDefault="00C41CFA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2016.gada 21.jūlija sēdē</w:t>
      </w:r>
    </w:p>
    <w:p w:rsidR="00C41CFA" w:rsidRPr="004D4C88" w:rsidRDefault="00C41CFA" w:rsidP="00776F06">
      <w:pPr>
        <w:shd w:val="clear" w:color="auto" w:fill="FFFFFF"/>
        <w:tabs>
          <w:tab w:val="left" w:leader="underscore" w:pos="950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(protokols Nr.16, 13.§)</w:t>
      </w:r>
    </w:p>
    <w:p w:rsidR="00166F92" w:rsidRPr="004D4C88" w:rsidRDefault="00166F92" w:rsidP="00776F06">
      <w:pPr>
        <w:spacing w:after="0" w:line="240" w:lineRule="auto"/>
        <w:jc w:val="center"/>
        <w:rPr>
          <w:rFonts w:ascii="Times New Roman" w:hAnsi="Times New Roman"/>
        </w:rPr>
      </w:pPr>
    </w:p>
    <w:p w:rsidR="00166F92" w:rsidRPr="00166F92" w:rsidRDefault="00166F92" w:rsidP="00776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256" w:rsidRPr="00166F92" w:rsidRDefault="00166F92" w:rsidP="00776F06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eastAsia="ru-RU"/>
        </w:rPr>
      </w:pPr>
      <w:r w:rsidRPr="00166F92">
        <w:rPr>
          <w:rFonts w:ascii="Times New Roman" w:hAnsi="Times New Roman"/>
          <w:b/>
          <w:sz w:val="24"/>
          <w:szCs w:val="24"/>
        </w:rPr>
        <w:t>Rēzeknes novada pašvaldības Komunālo jautājumu komisijas</w:t>
      </w:r>
      <w:r w:rsidR="00E15BF9" w:rsidRPr="00166F92"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eastAsia="ru-RU"/>
        </w:rPr>
        <w:t xml:space="preserve"> </w:t>
      </w:r>
    </w:p>
    <w:p w:rsidR="00E63BFD" w:rsidRPr="00B707D6" w:rsidRDefault="00E63BFD" w:rsidP="00776F06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eastAsia="ru-RU"/>
        </w:rPr>
      </w:pPr>
      <w:r w:rsidRPr="00B707D6"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eastAsia="ru-RU"/>
        </w:rPr>
        <w:t>NOLIKUMS</w:t>
      </w:r>
    </w:p>
    <w:p w:rsidR="00E63BFD" w:rsidRPr="00E63BFD" w:rsidRDefault="00E63BFD" w:rsidP="00776F06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6"/>
          <w:szCs w:val="26"/>
          <w:lang w:eastAsia="ru-RU"/>
        </w:rPr>
      </w:pPr>
    </w:p>
    <w:p w:rsidR="0087299F" w:rsidRPr="00FE1402" w:rsidRDefault="0087299F" w:rsidP="0087299F">
      <w:pPr>
        <w:pStyle w:val="NoSpacing"/>
        <w:ind w:right="-1"/>
        <w:jc w:val="right"/>
        <w:rPr>
          <w:rFonts w:ascii="Times New Roman" w:hAnsi="Times New Roman"/>
          <w:i/>
        </w:rPr>
      </w:pPr>
      <w:r w:rsidRPr="00FE1402">
        <w:rPr>
          <w:rFonts w:ascii="Times New Roman" w:hAnsi="Times New Roman"/>
          <w:i/>
        </w:rPr>
        <w:t>Izdots pamatojoties uz likuma „Par pašvaldībām”</w:t>
      </w:r>
    </w:p>
    <w:p w:rsidR="0087299F" w:rsidRPr="00FE1402" w:rsidRDefault="0087299F" w:rsidP="0087299F">
      <w:pPr>
        <w:pStyle w:val="NoSpacing"/>
        <w:ind w:right="-1"/>
        <w:jc w:val="right"/>
        <w:rPr>
          <w:rFonts w:ascii="Times New Roman" w:hAnsi="Times New Roman"/>
          <w:i/>
        </w:rPr>
      </w:pPr>
      <w:r w:rsidRPr="00FE1402">
        <w:rPr>
          <w:rFonts w:ascii="Times New Roman" w:hAnsi="Times New Roman"/>
          <w:i/>
        </w:rPr>
        <w:t xml:space="preserve"> 41.panta pirmās daļas 2.punktu un </w:t>
      </w:r>
    </w:p>
    <w:p w:rsidR="0087299F" w:rsidRPr="00FE1402" w:rsidRDefault="0087299F" w:rsidP="0087299F">
      <w:pPr>
        <w:pStyle w:val="NoSpacing"/>
        <w:ind w:right="-1"/>
        <w:jc w:val="right"/>
        <w:rPr>
          <w:rFonts w:ascii="Times New Roman" w:hAnsi="Times New Roman"/>
          <w:i/>
        </w:rPr>
      </w:pPr>
      <w:r w:rsidRPr="00FE1402">
        <w:rPr>
          <w:rFonts w:ascii="Times New Roman" w:hAnsi="Times New Roman"/>
          <w:i/>
        </w:rPr>
        <w:t xml:space="preserve">Rēzeknes novada pašvaldības 2013.gada 4.jūlija </w:t>
      </w:r>
    </w:p>
    <w:p w:rsidR="0087299F" w:rsidRPr="00FE1402" w:rsidRDefault="0087299F" w:rsidP="0087299F">
      <w:pPr>
        <w:pStyle w:val="NoSpacing"/>
        <w:ind w:right="-1"/>
        <w:jc w:val="right"/>
        <w:rPr>
          <w:rFonts w:ascii="Times New Roman" w:hAnsi="Times New Roman"/>
          <w:i/>
        </w:rPr>
      </w:pPr>
      <w:r w:rsidRPr="00FE1402">
        <w:rPr>
          <w:rFonts w:ascii="Times New Roman" w:hAnsi="Times New Roman"/>
          <w:i/>
        </w:rPr>
        <w:t xml:space="preserve">saistošo noteikumu Nr.1 „Rēzeknes novada pašvaldības nolikums” </w:t>
      </w:r>
    </w:p>
    <w:p w:rsidR="0087299F" w:rsidRPr="00FE1402" w:rsidRDefault="0087299F" w:rsidP="0087299F">
      <w:pPr>
        <w:pStyle w:val="NoSpacing"/>
        <w:ind w:right="-1"/>
        <w:jc w:val="right"/>
        <w:rPr>
          <w:rFonts w:ascii="Times New Roman" w:eastAsia="Times New Roman" w:hAnsi="Times New Roman"/>
          <w:i/>
          <w:sz w:val="24"/>
          <w:lang w:eastAsia="lv-LV"/>
        </w:rPr>
      </w:pPr>
      <w:r>
        <w:rPr>
          <w:rFonts w:ascii="Times New Roman" w:hAnsi="Times New Roman"/>
          <w:i/>
        </w:rPr>
        <w:t>12.1.10</w:t>
      </w:r>
      <w:r w:rsidRPr="00FE1402">
        <w:rPr>
          <w:rFonts w:ascii="Times New Roman" w:hAnsi="Times New Roman"/>
          <w:i/>
        </w:rPr>
        <w:t>.apakšpunktu un 13.punktu</w:t>
      </w:r>
    </w:p>
    <w:p w:rsidR="00E63BFD" w:rsidRPr="00E63BFD" w:rsidRDefault="00E63BFD" w:rsidP="00776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 w:val="0"/>
          <w:color w:val="000000"/>
          <w:kern w:val="32"/>
          <w:sz w:val="26"/>
          <w:szCs w:val="26"/>
          <w:lang w:eastAsia="lv-LV"/>
        </w:rPr>
      </w:pPr>
    </w:p>
    <w:p w:rsidR="00E15BF9" w:rsidRPr="00E15BF9" w:rsidRDefault="00E15BF9" w:rsidP="00776F06">
      <w:pPr>
        <w:autoSpaceDE w:val="0"/>
        <w:autoSpaceDN w:val="0"/>
        <w:adjustRightInd w:val="0"/>
        <w:spacing w:after="0" w:line="240" w:lineRule="auto"/>
        <w:ind w:left="460" w:hanging="460"/>
        <w:jc w:val="center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E15BF9">
        <w:rPr>
          <w:rFonts w:ascii="Times New Roman" w:eastAsia="Times New Roman" w:hAnsi="Times New Roman"/>
          <w:b/>
          <w:bCs/>
          <w:noProof w:val="0"/>
          <w:color w:val="000000"/>
          <w:sz w:val="26"/>
          <w:szCs w:val="26"/>
          <w:lang w:eastAsia="lv-LV"/>
        </w:rPr>
        <w:t>1. Vispārīgie jautājumi</w:t>
      </w:r>
    </w:p>
    <w:p w:rsidR="00D11262" w:rsidRDefault="00166F92" w:rsidP="00D1126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Rēzeknes</w:t>
      </w:r>
      <w:r w:rsidR="00E15BF9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novada pašvaldības </w:t>
      </w:r>
      <w:r w:rsidR="00B9689F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komunālo jautājumu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pakalpojumu </w:t>
      </w:r>
      <w:r w:rsidR="00E15BF9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tarifu projektu izvērtēšanas komisiju (turpmāk – Komisija) izveido un tās darba organizāciju nosaka </w:t>
      </w:r>
      <w:r w:rsidR="000D5FF5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Rēzeknes</w:t>
      </w:r>
      <w:r w:rsidR="00E15BF9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novada dome (turpmāk – Dome). </w:t>
      </w:r>
    </w:p>
    <w:p w:rsidR="00D11262" w:rsidRDefault="00E15BF9" w:rsidP="00D1126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Komisija savā darbībā ievēro Latvijas Republikā spēkā esošos normatīvos aktus, Domes lēmumus un šo nolikumu. </w:t>
      </w:r>
    </w:p>
    <w:p w:rsidR="00D11262" w:rsidRDefault="00E15BF9" w:rsidP="00D1126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Komisijas sastāvu apstiprina, kā arī izmaiņas tajā izdara ar Domes lēmumu.</w:t>
      </w:r>
    </w:p>
    <w:p w:rsidR="00E15BF9" w:rsidRPr="00D11262" w:rsidRDefault="00E15BF9" w:rsidP="00D1126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Komisi</w:t>
      </w:r>
      <w:r w:rsidR="004D4C88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jas locekļi par darbu komisijā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s</w:t>
      </w:r>
      <w:r w:rsidR="004D4C88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aņem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atlīdzību Domes noteiktajā kārtībā.</w:t>
      </w:r>
    </w:p>
    <w:p w:rsidR="00E15BF9" w:rsidRPr="00E15BF9" w:rsidRDefault="00E15BF9" w:rsidP="00776F06">
      <w:p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</w:p>
    <w:p w:rsidR="00D11262" w:rsidRDefault="00E15BF9" w:rsidP="00D112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E15BF9">
        <w:rPr>
          <w:rFonts w:ascii="Times New Roman" w:eastAsia="Times New Roman" w:hAnsi="Times New Roman"/>
          <w:b/>
          <w:bCs/>
          <w:noProof w:val="0"/>
          <w:color w:val="000000"/>
          <w:sz w:val="26"/>
          <w:szCs w:val="26"/>
          <w:lang w:eastAsia="lv-LV"/>
        </w:rPr>
        <w:t>2. Komisijas uzdevumi un tiesības</w:t>
      </w:r>
    </w:p>
    <w:p w:rsidR="00D11262" w:rsidRDefault="00E15BF9" w:rsidP="00740F3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Komisijas uzdevumi ir:</w:t>
      </w:r>
    </w:p>
    <w:p w:rsidR="00D11262" w:rsidRDefault="00E15BF9" w:rsidP="00740F3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izvērtēt </w:t>
      </w:r>
      <w:r w:rsidR="00CB4061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Rēzeknes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novada pašvaldības pagastu pārvalžu</w:t>
      </w:r>
      <w:r w:rsidR="00CB4061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iesniegto siltumapgādes, ūdensapgādes</w:t>
      </w:r>
      <w:r w:rsidR="00CB4061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un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kanalizācijas 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pakalpojumu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tarifu projektu eko</w:t>
      </w:r>
      <w:r w:rsidR="00B9689F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nomisko un juridisko pamatojumu, izņemot pagasta pārvalžu teritorijas, kur a</w:t>
      </w:r>
      <w:r w:rsidR="007F2704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ttiecīgos  pakalpojumus sniedz </w:t>
      </w:r>
      <w:r w:rsidR="007F2704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Rēzeknes novada </w:t>
      </w:r>
      <w:r w:rsidR="007F2704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p</w:t>
      </w:r>
      <w:r w:rsidR="00B9689F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ašvaldības </w:t>
      </w:r>
      <w:r w:rsidR="007F2704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kapitālsabiedrības</w:t>
      </w:r>
      <w:r w:rsidR="00B9689F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;</w:t>
      </w:r>
    </w:p>
    <w:p w:rsidR="00D11262" w:rsidRDefault="00E15BF9" w:rsidP="00740F3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sniegt atzinumu Domei par </w:t>
      </w:r>
      <w:r w:rsidR="007521BA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Rēzeknes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novada pašvaldības</w:t>
      </w:r>
      <w:r w:rsidR="007521BA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pagastu pārvalžu, sagatavotaj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iem siltumapgādes, ūdensapgādes,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kanalizācijas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pakalpojumu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tarifu projektiem, ko pievieno iesniedzamajam projektam;</w:t>
      </w:r>
    </w:p>
    <w:p w:rsidR="00740F32" w:rsidRDefault="00E15BF9" w:rsidP="00740F3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savas kompetences ietvaros izskatīt un sagatavot atzinumus atbildes sniegšanai uz iedzīvotāju iesniegumiem, sūdzībām un priekšlikumiem 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par siltumapgādes, ūdensapgādes,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kanalizācijas pakalpojumu</w:t>
      </w:r>
      <w:r w:rsidR="00DF3342"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</w:t>
      </w:r>
      <w:r w:rsidRPr="00D1126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tarifiem, saskaņā ar administratīvā procesa un iesniegumu likumiem.</w:t>
      </w:r>
    </w:p>
    <w:p w:rsidR="00740F32" w:rsidRDefault="00E15BF9" w:rsidP="00740F3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Komisijai savas kompetences ietvaros ir tiesības pieprasīt un saņemt jebkuru nepieciešamo informāciju no visām </w:t>
      </w:r>
      <w:r w:rsidR="00F21123"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Rēzeknes</w:t>
      </w: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novada </w:t>
      </w:r>
      <w:r w:rsidR="00DF3342"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pašvaldības</w:t>
      </w: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iestādēm un kapitālsabiedrībām, kas sniedz pakalpojumus siltumapgādes, ūdensapgādes</w:t>
      </w:r>
      <w:r w:rsidR="00F21123"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un</w:t>
      </w: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kanalizācijas jomās.</w:t>
      </w:r>
    </w:p>
    <w:p w:rsidR="00E15BF9" w:rsidRPr="00740F32" w:rsidRDefault="00E15BF9" w:rsidP="00740F3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Komisijai ir tiesības uz sēdi uzaicināt attiecīgo nozaru speciālistus, kas piedalījās siltumapgādes, ūdensapgādes</w:t>
      </w:r>
      <w:r w:rsidR="00DF3342"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,</w:t>
      </w: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kanalizācijas</w:t>
      </w:r>
      <w:r w:rsidR="00DF3342"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 xml:space="preserve"> pakalpojumu </w:t>
      </w: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tarifu projektu sagatavošanā.</w:t>
      </w:r>
    </w:p>
    <w:p w:rsidR="00B9689F" w:rsidRDefault="00B9689F" w:rsidP="00776F06">
      <w:pPr>
        <w:autoSpaceDE w:val="0"/>
        <w:autoSpaceDN w:val="0"/>
        <w:adjustRightInd w:val="0"/>
        <w:spacing w:after="0" w:line="240" w:lineRule="auto"/>
        <w:ind w:left="460" w:hanging="460"/>
        <w:jc w:val="center"/>
        <w:rPr>
          <w:rFonts w:ascii="Times New Roman" w:eastAsia="Times New Roman" w:hAnsi="Times New Roman"/>
          <w:b/>
          <w:bCs/>
          <w:noProof w:val="0"/>
          <w:color w:val="000000"/>
          <w:sz w:val="26"/>
          <w:szCs w:val="26"/>
          <w:lang w:eastAsia="lv-LV"/>
        </w:rPr>
      </w:pPr>
    </w:p>
    <w:p w:rsidR="00E15BF9" w:rsidRPr="00E15BF9" w:rsidRDefault="00E15BF9" w:rsidP="00776F06">
      <w:pPr>
        <w:autoSpaceDE w:val="0"/>
        <w:autoSpaceDN w:val="0"/>
        <w:adjustRightInd w:val="0"/>
        <w:spacing w:after="0" w:line="240" w:lineRule="auto"/>
        <w:ind w:left="460" w:hanging="460"/>
        <w:jc w:val="center"/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</w:pPr>
      <w:r w:rsidRPr="00E15BF9">
        <w:rPr>
          <w:rFonts w:ascii="Times New Roman" w:eastAsia="Times New Roman" w:hAnsi="Times New Roman"/>
          <w:b/>
          <w:bCs/>
          <w:noProof w:val="0"/>
          <w:color w:val="000000"/>
          <w:sz w:val="26"/>
          <w:szCs w:val="26"/>
          <w:lang w:eastAsia="lv-LV"/>
        </w:rPr>
        <w:lastRenderedPageBreak/>
        <w:t>3. Komisijas darba organizācija</w:t>
      </w:r>
    </w:p>
    <w:p w:rsid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color w:val="000000"/>
          <w:sz w:val="26"/>
          <w:szCs w:val="26"/>
          <w:lang w:eastAsia="lv-LV"/>
        </w:rPr>
        <w:t>Komisija tiek izveidota, reorganizēta un likvidēta ar Domes lēmumu</w:t>
      </w: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.</w:t>
      </w:r>
    </w:p>
    <w:p w:rsidR="00740F32" w:rsidRDefault="00C41CFA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Komisijas locekļu sakaitu</w:t>
      </w:r>
      <w:proofErr w:type="gramStart"/>
      <w:r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un</w:t>
      </w:r>
      <w:proofErr w:type="gramEnd"/>
      <w:r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sastāvu apstiprina Dome</w:t>
      </w:r>
      <w:r w:rsidR="00E15BF9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.</w:t>
      </w:r>
    </w:p>
    <w:p w:rsidR="00C41CFA" w:rsidRPr="00AE2850" w:rsidRDefault="00C41CFA" w:rsidP="00C41CFA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</w:pPr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 xml:space="preserve">(ar grozījumiem, kas izdarīti ar Rēzeknes novada domes </w:t>
      </w:r>
      <w:proofErr w:type="gramStart"/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>2016.gada</w:t>
      </w:r>
      <w:proofErr w:type="gramEnd"/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 xml:space="preserve"> 21.jūlija lēmumu, kas stājas spēkā 2016.gada 22.jūlijā)</w:t>
      </w:r>
    </w:p>
    <w:p w:rsid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Komisijas priekšsēdētājs,</w:t>
      </w:r>
      <w:r w:rsidR="00B707D6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bet</w:t>
      </w: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viņa prombūtnes laikā Komisijas priekšsēdētāja </w:t>
      </w:r>
      <w:r w:rsidR="00C41CFA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vietnieks, kas sasauc un vada Komisijas sē</w:t>
      </w:r>
      <w:r w:rsidR="0060747C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des, ir atbildīgs par komisijas uzdevumu un lēmumu izpildi, kā arī ir atbildīgs par atzinumu iesniegšanu Domei.</w:t>
      </w:r>
    </w:p>
    <w:p w:rsidR="0060747C" w:rsidRPr="00AE2850" w:rsidRDefault="0060747C" w:rsidP="00AE2850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</w:pPr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 xml:space="preserve">(ar grozījumiem, kas izdarīti ar Rēzeknes novada domes </w:t>
      </w:r>
      <w:proofErr w:type="gramStart"/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>2016.gada</w:t>
      </w:r>
      <w:proofErr w:type="gramEnd"/>
      <w:r w:rsidRPr="00AE2850">
        <w:rPr>
          <w:rFonts w:ascii="Times New Roman" w:eastAsia="Times New Roman" w:hAnsi="Times New Roman"/>
          <w:i/>
          <w:noProof w:val="0"/>
          <w:color w:val="0070C0"/>
          <w:sz w:val="20"/>
          <w:szCs w:val="20"/>
          <w:lang w:eastAsia="en-US"/>
        </w:rPr>
        <w:t xml:space="preserve"> 21.jūlija lēmumu, kas stājas spēkā 2016.gada 22.jūlijā)</w:t>
      </w:r>
    </w:p>
    <w:p w:rsid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Komisijas sekretār</w:t>
      </w:r>
      <w:r w:rsidR="00B9689F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a pienākumus pilda komisijas priekšsēdētāja nozīmēts</w:t>
      </w:r>
      <w:r w:rsidR="007F2704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K</w:t>
      </w:r>
      <w:r w:rsidR="00B9689F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omisijas loce</w:t>
      </w:r>
      <w:bookmarkStart w:id="0" w:name="_GoBack"/>
      <w:bookmarkEnd w:id="0"/>
      <w:r w:rsidR="00B9689F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klis, kas </w:t>
      </w: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protokolē Komisijas sēdes un kārto Komisijas sēžu lietvedību.</w:t>
      </w:r>
    </w:p>
    <w:p w:rsid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Komisija ir tiesīga pieņemt lēmumus, ja Komisijas sēdē piedalās vairāk nekā puse balsstiesīgo Komisijas locekļu.</w:t>
      </w:r>
    </w:p>
    <w:p w:rsid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Lēmumus Komisija pieņem ar klātesošo Komisijas locekļu balsu vairākumu. Ja balsis sadalās līdzīgi, izšķirošā ir Komisijas priekšsēdētāja balss. </w:t>
      </w:r>
    </w:p>
    <w:p w:rsidR="00E15BF9" w:rsidRPr="00740F32" w:rsidRDefault="00E15BF9" w:rsidP="00776F06">
      <w:pPr>
        <w:pStyle w:val="ListParagraph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noProof w:val="0"/>
          <w:sz w:val="26"/>
          <w:szCs w:val="26"/>
          <w:lang w:eastAsia="en-US"/>
        </w:rPr>
      </w:pP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Komisijas pieņemtos lēmumus noformē protokola veidā. Protokolu paraksta Komisijas priekšsēdētājs, Komisijas priekšsēdētāja prombūtnes laikā – </w:t>
      </w:r>
      <w:r w:rsidR="00B9689F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nozīmēts komisijas loceklis</w:t>
      </w:r>
      <w:r w:rsidR="007F2704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 un K</w:t>
      </w:r>
      <w:r w:rsidR="007F2704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omisijas loceklis</w:t>
      </w:r>
      <w:r w:rsidR="007F2704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, kas pilda </w:t>
      </w:r>
      <w:r w:rsidR="007F2704"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Komisijas sekretār</w:t>
      </w:r>
      <w:r w:rsidR="007F2704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>a pienākumus</w:t>
      </w:r>
      <w:r w:rsidRPr="00740F32">
        <w:rPr>
          <w:rFonts w:ascii="Times New Roman" w:eastAsia="Times New Roman" w:hAnsi="Times New Roman"/>
          <w:noProof w:val="0"/>
          <w:sz w:val="26"/>
          <w:szCs w:val="26"/>
          <w:lang w:eastAsia="en-US"/>
        </w:rPr>
        <w:t xml:space="preserve">. </w:t>
      </w:r>
    </w:p>
    <w:p w:rsidR="00E63BFD" w:rsidRPr="00E63BFD" w:rsidRDefault="00E63BFD" w:rsidP="00776F06">
      <w:pPr>
        <w:spacing w:after="0" w:line="240" w:lineRule="auto"/>
        <w:ind w:left="-851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7F2704" w:rsidRDefault="007F2704" w:rsidP="00776F0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</w:pPr>
    </w:p>
    <w:p w:rsidR="00E63BFD" w:rsidRPr="00E63BFD" w:rsidRDefault="00D11262" w:rsidP="00776F0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</w:pPr>
      <w:r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  <w:t>D</w:t>
      </w:r>
      <w:r w:rsidR="00E63BFD" w:rsidRPr="00584F55"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  <w:t>omes</w:t>
      </w:r>
      <w:r w:rsidR="00584F55"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  <w:t xml:space="preserve"> </w:t>
      </w:r>
      <w:r w:rsidR="00584F55" w:rsidRPr="00584F55"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  <w:t>priekšsēdētājs</w:t>
      </w:r>
      <w:r w:rsidR="00E63BFD" w:rsidRPr="00584F55">
        <w:rPr>
          <w:rFonts w:ascii="Times New Roman" w:eastAsia="Times New Roman" w:hAnsi="Times New Roman"/>
          <w:bCs/>
          <w:noProof w:val="0"/>
          <w:sz w:val="26"/>
          <w:szCs w:val="26"/>
          <w:lang w:eastAsia="ar-SA"/>
        </w:rPr>
        <w:tab/>
      </w:r>
      <w:r w:rsidR="00E63BFD" w:rsidRPr="00E63BFD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ab/>
      </w:r>
      <w:r w:rsidR="00E63BFD" w:rsidRPr="00E63BFD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ab/>
      </w:r>
      <w:r w:rsidR="00E63BFD" w:rsidRPr="00E63BFD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ab/>
      </w:r>
      <w:r w:rsidR="00E63BFD" w:rsidRPr="00E63BFD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ab/>
      </w:r>
      <w:r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 xml:space="preserve">                             </w:t>
      </w:r>
      <w:r w:rsidR="007F2704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 xml:space="preserve">     </w:t>
      </w:r>
      <w:proofErr w:type="spellStart"/>
      <w:r w:rsidR="00584F55">
        <w:rPr>
          <w:rFonts w:ascii="Times New Roman" w:eastAsia="Times New Roman" w:hAnsi="Times New Roman"/>
          <w:bCs/>
          <w:noProof w:val="0"/>
          <w:sz w:val="26"/>
          <w:szCs w:val="26"/>
          <w:lang w:val="en-US" w:eastAsia="ar-SA"/>
        </w:rPr>
        <w:t>M.Švarcs</w:t>
      </w:r>
      <w:proofErr w:type="spellEnd"/>
    </w:p>
    <w:p w:rsidR="00E63BFD" w:rsidRPr="00E63BFD" w:rsidRDefault="00E63BFD" w:rsidP="00776F06">
      <w:pPr>
        <w:spacing w:after="0" w:line="240" w:lineRule="auto"/>
        <w:rPr>
          <w:lang w:val="en-US"/>
        </w:rPr>
      </w:pPr>
    </w:p>
    <w:sectPr w:rsidR="00E63BFD" w:rsidRPr="00E63BFD" w:rsidSect="004D4C88">
      <w:headerReference w:type="first" r:id="rId8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C9" w:rsidRDefault="00B760C9" w:rsidP="00166F92">
      <w:pPr>
        <w:spacing w:after="0" w:line="240" w:lineRule="auto"/>
      </w:pPr>
      <w:r>
        <w:separator/>
      </w:r>
    </w:p>
  </w:endnote>
  <w:endnote w:type="continuationSeparator" w:id="0">
    <w:p w:rsidR="00B760C9" w:rsidRDefault="00B760C9" w:rsidP="0016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C9" w:rsidRDefault="00B760C9" w:rsidP="00166F92">
      <w:pPr>
        <w:spacing w:after="0" w:line="240" w:lineRule="auto"/>
      </w:pPr>
      <w:r>
        <w:separator/>
      </w:r>
    </w:p>
  </w:footnote>
  <w:footnote w:type="continuationSeparator" w:id="0">
    <w:p w:rsidR="00B760C9" w:rsidRDefault="00B760C9" w:rsidP="0016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8" w:rsidRDefault="004D4C88" w:rsidP="00166F92">
    <w:pPr>
      <w:pStyle w:val="Header"/>
      <w:tabs>
        <w:tab w:val="clear" w:pos="4153"/>
        <w:tab w:val="clear" w:pos="8306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BBE"/>
    <w:multiLevelType w:val="multilevel"/>
    <w:tmpl w:val="97A0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A029D5"/>
    <w:multiLevelType w:val="multilevel"/>
    <w:tmpl w:val="60A408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623905"/>
    <w:multiLevelType w:val="multilevel"/>
    <w:tmpl w:val="60A40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AC4B1E"/>
    <w:multiLevelType w:val="multilevel"/>
    <w:tmpl w:val="5CAA5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6F588C"/>
    <w:multiLevelType w:val="multilevel"/>
    <w:tmpl w:val="703E5AB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501A41FC"/>
    <w:multiLevelType w:val="multilevel"/>
    <w:tmpl w:val="60A40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B2098C"/>
    <w:multiLevelType w:val="multilevel"/>
    <w:tmpl w:val="60A40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12525"/>
    <w:multiLevelType w:val="multilevel"/>
    <w:tmpl w:val="91D058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38D32DC"/>
    <w:multiLevelType w:val="multilevel"/>
    <w:tmpl w:val="5CAA54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C92B71"/>
    <w:multiLevelType w:val="hybridMultilevel"/>
    <w:tmpl w:val="8006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FD"/>
    <w:rsid w:val="00030888"/>
    <w:rsid w:val="000C1FC7"/>
    <w:rsid w:val="000D5FF5"/>
    <w:rsid w:val="0013032C"/>
    <w:rsid w:val="001344A9"/>
    <w:rsid w:val="00161256"/>
    <w:rsid w:val="00166F92"/>
    <w:rsid w:val="00175407"/>
    <w:rsid w:val="002022E3"/>
    <w:rsid w:val="00274389"/>
    <w:rsid w:val="002E2B55"/>
    <w:rsid w:val="00492047"/>
    <w:rsid w:val="004D4C88"/>
    <w:rsid w:val="00517474"/>
    <w:rsid w:val="00584F55"/>
    <w:rsid w:val="0060747C"/>
    <w:rsid w:val="00672F4B"/>
    <w:rsid w:val="006A3178"/>
    <w:rsid w:val="006A65BB"/>
    <w:rsid w:val="00740F32"/>
    <w:rsid w:val="007521BA"/>
    <w:rsid w:val="00776F06"/>
    <w:rsid w:val="00785478"/>
    <w:rsid w:val="007875C1"/>
    <w:rsid w:val="007F2704"/>
    <w:rsid w:val="00841DD0"/>
    <w:rsid w:val="0087299F"/>
    <w:rsid w:val="008D53F1"/>
    <w:rsid w:val="00985E8F"/>
    <w:rsid w:val="00AC7981"/>
    <w:rsid w:val="00AE2850"/>
    <w:rsid w:val="00AF6296"/>
    <w:rsid w:val="00B06F7C"/>
    <w:rsid w:val="00B707D6"/>
    <w:rsid w:val="00B760C9"/>
    <w:rsid w:val="00B9689F"/>
    <w:rsid w:val="00BC6877"/>
    <w:rsid w:val="00C23E96"/>
    <w:rsid w:val="00C41CFA"/>
    <w:rsid w:val="00C45BDB"/>
    <w:rsid w:val="00C46F98"/>
    <w:rsid w:val="00CB4061"/>
    <w:rsid w:val="00CF76A2"/>
    <w:rsid w:val="00D11262"/>
    <w:rsid w:val="00D420C4"/>
    <w:rsid w:val="00DB1742"/>
    <w:rsid w:val="00DF3342"/>
    <w:rsid w:val="00DF400C"/>
    <w:rsid w:val="00E15BF9"/>
    <w:rsid w:val="00E226A5"/>
    <w:rsid w:val="00E63BFD"/>
    <w:rsid w:val="00EA46F8"/>
    <w:rsid w:val="00F21123"/>
    <w:rsid w:val="00F36512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918F"/>
  <w15:docId w15:val="{7B8F75F5-AAC6-4799-81DB-8F86FB3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20C4"/>
    <w:pPr>
      <w:spacing w:after="200" w:line="276" w:lineRule="auto"/>
    </w:pPr>
    <w:rPr>
      <w:noProof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BF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6F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F92"/>
    <w:rPr>
      <w:noProof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66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F92"/>
    <w:rPr>
      <w:noProof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11262"/>
    <w:pPr>
      <w:ind w:left="720"/>
      <w:contextualSpacing/>
    </w:pPr>
  </w:style>
  <w:style w:type="paragraph" w:styleId="NoSpacing">
    <w:name w:val="No Spacing"/>
    <w:uiPriority w:val="1"/>
    <w:qFormat/>
    <w:rsid w:val="0087299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57C3B5-D0F8-4003-8DB7-F874B9E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mailto:ddmc@drp.lv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Francenko</cp:lastModifiedBy>
  <cp:revision>4</cp:revision>
  <cp:lastPrinted>2016-07-25T12:52:00Z</cp:lastPrinted>
  <dcterms:created xsi:type="dcterms:W3CDTF">2016-07-25T13:05:00Z</dcterms:created>
  <dcterms:modified xsi:type="dcterms:W3CDTF">2016-07-26T05:40:00Z</dcterms:modified>
</cp:coreProperties>
</file>