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459" w:type="dxa"/>
        <w:tblLook w:val="04A0" w:firstRow="1" w:lastRow="0" w:firstColumn="1" w:lastColumn="0" w:noHBand="0" w:noVBand="1"/>
      </w:tblPr>
      <w:tblGrid>
        <w:gridCol w:w="1938"/>
        <w:gridCol w:w="8268"/>
      </w:tblGrid>
      <w:tr w:rsidR="00E60BE4" w:rsidRPr="001A30EF" w14:paraId="2E386D3D" w14:textId="77777777" w:rsidTr="00FF0BC6">
        <w:trPr>
          <w:trHeight w:val="1306"/>
        </w:trPr>
        <w:tc>
          <w:tcPr>
            <w:tcW w:w="1938" w:type="dxa"/>
          </w:tcPr>
          <w:p w14:paraId="62E01EAC" w14:textId="77777777" w:rsidR="00E60BE4" w:rsidRPr="008874F3" w:rsidRDefault="00E60BE4" w:rsidP="00FF0BC6">
            <w:pPr>
              <w:tabs>
                <w:tab w:val="left" w:pos="851"/>
              </w:tabs>
              <w:rPr>
                <w:b/>
                <w:sz w:val="22"/>
                <w:szCs w:val="22"/>
                <w:lang w:val="lv-LV" w:eastAsia="en-GB"/>
              </w:rPr>
            </w:pPr>
            <w:r>
              <w:rPr>
                <w:b/>
                <w:sz w:val="22"/>
                <w:szCs w:val="22"/>
                <w:lang w:val="lv-LV" w:eastAsia="en-GB"/>
              </w:rPr>
              <w:t xml:space="preserve">Semināra </w:t>
            </w:r>
            <w:r w:rsidRPr="008874F3">
              <w:rPr>
                <w:b/>
                <w:sz w:val="22"/>
                <w:szCs w:val="22"/>
                <w:lang w:val="lv-LV" w:eastAsia="en-GB"/>
              </w:rPr>
              <w:t>nosaukums</w:t>
            </w:r>
          </w:p>
        </w:tc>
        <w:tc>
          <w:tcPr>
            <w:tcW w:w="8268" w:type="dxa"/>
            <w:vAlign w:val="center"/>
          </w:tcPr>
          <w:p w14:paraId="4B0587D2" w14:textId="77777777" w:rsidR="00E60BE4" w:rsidRPr="001A30EF" w:rsidRDefault="00E60BE4" w:rsidP="00FF0BC6">
            <w:pPr>
              <w:jc w:val="center"/>
              <w:rPr>
                <w:b/>
                <w:bCs/>
                <w:color w:val="000000" w:themeColor="text1"/>
                <w:sz w:val="22"/>
                <w:szCs w:val="22"/>
                <w:lang w:val="lv-LV"/>
              </w:rPr>
            </w:pPr>
            <w:r w:rsidRPr="001A30EF">
              <w:rPr>
                <w:b/>
                <w:bCs/>
                <w:lang w:val="lv-LV"/>
              </w:rPr>
              <w:t>Tiesiskuma pamatprincipi Latvijā un Eiropā</w:t>
            </w:r>
            <w:r w:rsidRPr="004D17A9">
              <w:rPr>
                <w:b/>
                <w:bCs/>
                <w:lang w:val="lv-LV"/>
              </w:rPr>
              <w:t>: pretkorupcijas pasākumi un ierobežojumi</w:t>
            </w:r>
          </w:p>
        </w:tc>
      </w:tr>
      <w:tr w:rsidR="00E60BE4" w:rsidRPr="008874F3" w14:paraId="7A98F746" w14:textId="77777777" w:rsidTr="00FF0BC6">
        <w:trPr>
          <w:trHeight w:val="398"/>
        </w:trPr>
        <w:tc>
          <w:tcPr>
            <w:tcW w:w="10206" w:type="dxa"/>
            <w:gridSpan w:val="2"/>
            <w:tcBorders>
              <w:top w:val="single" w:sz="4" w:space="0" w:color="auto"/>
              <w:left w:val="single" w:sz="4" w:space="0" w:color="auto"/>
              <w:bottom w:val="single" w:sz="4" w:space="0" w:color="auto"/>
              <w:right w:val="single" w:sz="4" w:space="0" w:color="auto"/>
            </w:tcBorders>
          </w:tcPr>
          <w:p w14:paraId="45C390DB" w14:textId="77777777" w:rsidR="00E60BE4" w:rsidRPr="008874F3" w:rsidRDefault="00E60BE4" w:rsidP="00FF0BC6">
            <w:pPr>
              <w:tabs>
                <w:tab w:val="left" w:pos="851"/>
              </w:tabs>
              <w:rPr>
                <w:b/>
                <w:sz w:val="22"/>
                <w:szCs w:val="22"/>
                <w:lang w:val="lv-LV" w:eastAsia="en-GB"/>
              </w:rPr>
            </w:pPr>
            <w:r w:rsidRPr="008874F3">
              <w:rPr>
                <w:b/>
                <w:sz w:val="22"/>
                <w:szCs w:val="22"/>
                <w:lang w:val="lv-LV" w:eastAsia="en-GB"/>
              </w:rPr>
              <w:t>Programmas saturs un īstenošanas plāns:</w:t>
            </w:r>
          </w:p>
        </w:tc>
      </w:tr>
      <w:tr w:rsidR="00E60BE4" w:rsidRPr="008874F3" w14:paraId="07417951" w14:textId="77777777" w:rsidTr="00FF0BC6">
        <w:trPr>
          <w:trHeight w:val="287"/>
        </w:trPr>
        <w:tc>
          <w:tcPr>
            <w:tcW w:w="1938" w:type="dxa"/>
            <w:tcBorders>
              <w:top w:val="single" w:sz="4" w:space="0" w:color="auto"/>
              <w:left w:val="single" w:sz="4" w:space="0" w:color="auto"/>
              <w:bottom w:val="single" w:sz="4" w:space="0" w:color="auto"/>
              <w:right w:val="single" w:sz="4" w:space="0" w:color="auto"/>
            </w:tcBorders>
          </w:tcPr>
          <w:p w14:paraId="595330D7" w14:textId="77777777" w:rsidR="00E60BE4" w:rsidRPr="008874F3" w:rsidRDefault="00E60BE4" w:rsidP="00FF0BC6">
            <w:pPr>
              <w:rPr>
                <w:b/>
                <w:sz w:val="22"/>
                <w:szCs w:val="22"/>
                <w:lang w:val="lv-LV"/>
              </w:rPr>
            </w:pPr>
            <w:r w:rsidRPr="008874F3">
              <w:rPr>
                <w:b/>
                <w:sz w:val="22"/>
                <w:szCs w:val="22"/>
                <w:lang w:val="lv-LV" w:eastAsia="en-GB"/>
              </w:rPr>
              <w:t>Moduļi:</w:t>
            </w:r>
          </w:p>
        </w:tc>
        <w:tc>
          <w:tcPr>
            <w:tcW w:w="8268" w:type="dxa"/>
            <w:tcBorders>
              <w:top w:val="single" w:sz="4" w:space="0" w:color="auto"/>
              <w:left w:val="single" w:sz="4" w:space="0" w:color="auto"/>
              <w:bottom w:val="single" w:sz="4" w:space="0" w:color="auto"/>
              <w:right w:val="single" w:sz="4" w:space="0" w:color="auto"/>
            </w:tcBorders>
          </w:tcPr>
          <w:p w14:paraId="67857E0C" w14:textId="77777777" w:rsidR="00E60BE4" w:rsidRPr="008874F3" w:rsidRDefault="00E60BE4" w:rsidP="00FF0BC6">
            <w:pPr>
              <w:jc w:val="center"/>
              <w:rPr>
                <w:b/>
                <w:sz w:val="22"/>
                <w:szCs w:val="22"/>
                <w:lang w:val="lv-LV"/>
              </w:rPr>
            </w:pPr>
            <w:r w:rsidRPr="008874F3">
              <w:rPr>
                <w:b/>
                <w:sz w:val="22"/>
                <w:szCs w:val="22"/>
                <w:lang w:val="lv-LV"/>
              </w:rPr>
              <w:t>Tēmas:</w:t>
            </w:r>
          </w:p>
        </w:tc>
      </w:tr>
      <w:tr w:rsidR="00E60BE4" w:rsidRPr="004D17A9" w14:paraId="04667BAF" w14:textId="77777777" w:rsidTr="00FF0BC6">
        <w:trPr>
          <w:trHeight w:val="3249"/>
        </w:trPr>
        <w:tc>
          <w:tcPr>
            <w:tcW w:w="1938" w:type="dxa"/>
            <w:tcBorders>
              <w:top w:val="single" w:sz="4" w:space="0" w:color="auto"/>
              <w:left w:val="single" w:sz="4" w:space="0" w:color="auto"/>
              <w:bottom w:val="single" w:sz="4" w:space="0" w:color="auto"/>
              <w:right w:val="single" w:sz="4" w:space="0" w:color="auto"/>
            </w:tcBorders>
          </w:tcPr>
          <w:p w14:paraId="75D7BB90" w14:textId="77777777" w:rsidR="00E60BE4" w:rsidRPr="004D17A9" w:rsidRDefault="00E60BE4" w:rsidP="00FF0BC6">
            <w:pPr>
              <w:jc w:val="right"/>
              <w:rPr>
                <w:b/>
                <w:sz w:val="22"/>
                <w:szCs w:val="22"/>
                <w:lang w:val="lv-LV"/>
              </w:rPr>
            </w:pPr>
            <w:r w:rsidRPr="004D17A9">
              <w:rPr>
                <w:b/>
                <w:sz w:val="22"/>
                <w:szCs w:val="22"/>
                <w:lang w:val="lv-LV"/>
              </w:rPr>
              <w:t>NR.1</w:t>
            </w:r>
          </w:p>
          <w:p w14:paraId="70438AC8" w14:textId="77777777" w:rsidR="00E60BE4" w:rsidRPr="004D17A9" w:rsidRDefault="00E60BE4" w:rsidP="00FF0BC6">
            <w:pPr>
              <w:jc w:val="right"/>
              <w:rPr>
                <w:b/>
                <w:sz w:val="22"/>
                <w:szCs w:val="22"/>
                <w:lang w:val="lv-LV" w:eastAsia="en-GB"/>
              </w:rPr>
            </w:pPr>
            <w:r w:rsidRPr="004D17A9">
              <w:rPr>
                <w:b/>
                <w:sz w:val="22"/>
                <w:szCs w:val="22"/>
                <w:lang w:val="lv-LV" w:eastAsia="en-GB"/>
              </w:rPr>
              <w:t>Eiropas tiesiskuma un pretkorupcijas mehānismi</w:t>
            </w:r>
          </w:p>
        </w:tc>
        <w:tc>
          <w:tcPr>
            <w:tcW w:w="8268" w:type="dxa"/>
            <w:tcBorders>
              <w:top w:val="single" w:sz="4" w:space="0" w:color="auto"/>
              <w:left w:val="single" w:sz="4" w:space="0" w:color="auto"/>
              <w:bottom w:val="single" w:sz="4" w:space="0" w:color="auto"/>
              <w:right w:val="single" w:sz="4" w:space="0" w:color="auto"/>
            </w:tcBorders>
          </w:tcPr>
          <w:p w14:paraId="6A300414" w14:textId="77777777" w:rsidR="00E60BE4" w:rsidRPr="004D17A9" w:rsidRDefault="00E60BE4" w:rsidP="00E60BE4">
            <w:pPr>
              <w:pStyle w:val="ListParagraph"/>
              <w:numPr>
                <w:ilvl w:val="0"/>
                <w:numId w:val="4"/>
              </w:numPr>
              <w:spacing w:after="200" w:line="276" w:lineRule="auto"/>
              <w:ind w:left="472"/>
              <w:contextualSpacing/>
              <w:rPr>
                <w:sz w:val="22"/>
                <w:szCs w:val="22"/>
                <w:lang w:val="lv-LV"/>
              </w:rPr>
            </w:pPr>
            <w:r w:rsidRPr="004D17A9">
              <w:rPr>
                <w:sz w:val="22"/>
                <w:szCs w:val="22"/>
                <w:lang w:val="lv-LV"/>
              </w:rPr>
              <w:t>Korupcijas un interešu konflikta  novēršanas, kā arī noteikto ierobežojumu un aizliegumu noteikšanas valsts amatpersonām starptautiski standarti (ANO, GRECO, OECD, u.c.)</w:t>
            </w:r>
          </w:p>
          <w:p w14:paraId="4F1962FC" w14:textId="77777777" w:rsidR="00E60BE4" w:rsidRPr="004D17A9" w:rsidRDefault="00E60BE4" w:rsidP="00E60BE4">
            <w:pPr>
              <w:pStyle w:val="ListParagraph"/>
              <w:numPr>
                <w:ilvl w:val="0"/>
                <w:numId w:val="4"/>
              </w:numPr>
              <w:spacing w:after="200" w:line="276" w:lineRule="auto"/>
              <w:ind w:left="472"/>
              <w:contextualSpacing/>
              <w:rPr>
                <w:sz w:val="22"/>
                <w:szCs w:val="22"/>
                <w:lang w:val="lv-LV"/>
              </w:rPr>
            </w:pPr>
            <w:r w:rsidRPr="004D17A9">
              <w:rPr>
                <w:sz w:val="22"/>
                <w:szCs w:val="22"/>
                <w:lang w:val="lv-LV"/>
              </w:rPr>
              <w:t>Valsts amatpersonām noteikto ierobežojumu un aizliegumu standarti, kā arī interešu konflikta situācijas noteikšana.</w:t>
            </w:r>
          </w:p>
          <w:p w14:paraId="1BF730B8" w14:textId="77777777" w:rsidR="00E60BE4" w:rsidRPr="004D17A9" w:rsidRDefault="00E60BE4" w:rsidP="00E60BE4">
            <w:pPr>
              <w:pStyle w:val="ListParagraph"/>
              <w:numPr>
                <w:ilvl w:val="0"/>
                <w:numId w:val="4"/>
              </w:numPr>
              <w:spacing w:after="200" w:line="276" w:lineRule="auto"/>
              <w:ind w:left="472"/>
              <w:contextualSpacing/>
              <w:rPr>
                <w:sz w:val="22"/>
                <w:szCs w:val="22"/>
                <w:lang w:val="lv-LV"/>
              </w:rPr>
            </w:pPr>
            <w:r w:rsidRPr="004D17A9">
              <w:rPr>
                <w:sz w:val="22"/>
                <w:szCs w:val="22"/>
                <w:lang w:val="lv-LV"/>
              </w:rPr>
              <w:t>Deklarācijas sistēma kā instruments interešu konflikta un valsts amatpersonas noteikto ierobežojumu un aizliegumu neievērošanas noteikšanā.</w:t>
            </w:r>
          </w:p>
          <w:p w14:paraId="7514CE25" w14:textId="77777777" w:rsidR="00E60BE4" w:rsidRPr="004D17A9" w:rsidRDefault="00E60BE4" w:rsidP="00E60BE4">
            <w:pPr>
              <w:pStyle w:val="ListParagraph"/>
              <w:numPr>
                <w:ilvl w:val="0"/>
                <w:numId w:val="4"/>
              </w:numPr>
              <w:spacing w:after="200" w:line="276" w:lineRule="auto"/>
              <w:ind w:left="472"/>
              <w:contextualSpacing/>
              <w:rPr>
                <w:sz w:val="22"/>
                <w:szCs w:val="22"/>
                <w:lang w:val="lv-LV"/>
              </w:rPr>
            </w:pPr>
            <w:r w:rsidRPr="004D17A9">
              <w:rPr>
                <w:sz w:val="22"/>
                <w:szCs w:val="22"/>
                <w:lang w:val="lv-LV"/>
              </w:rPr>
              <w:t>Valsts amatpersonām noteikto ierobežojumu un aizliegumu sistēma (jēdzieni, mērķis, veidi, u.c.)</w:t>
            </w:r>
          </w:p>
          <w:p w14:paraId="3A355056" w14:textId="77777777" w:rsidR="00E60BE4" w:rsidRPr="004D17A9" w:rsidRDefault="00E60BE4" w:rsidP="00E60BE4">
            <w:pPr>
              <w:pStyle w:val="ListParagraph"/>
              <w:numPr>
                <w:ilvl w:val="0"/>
                <w:numId w:val="4"/>
              </w:numPr>
              <w:spacing w:after="200" w:line="276" w:lineRule="auto"/>
              <w:ind w:left="472"/>
              <w:contextualSpacing/>
              <w:rPr>
                <w:sz w:val="22"/>
                <w:szCs w:val="22"/>
                <w:lang w:val="lv-LV"/>
              </w:rPr>
            </w:pPr>
            <w:r w:rsidRPr="004D17A9">
              <w:rPr>
                <w:sz w:val="22"/>
                <w:szCs w:val="22"/>
                <w:lang w:val="lv-LV"/>
              </w:rPr>
              <w:t>Interešu konflikta novēršana (mērķis, jēdziens, subjekti, darbības sfēra)</w:t>
            </w:r>
          </w:p>
          <w:p w14:paraId="2A57C67D" w14:textId="1FE849E4" w:rsidR="00E60BE4" w:rsidRPr="004D17A9" w:rsidRDefault="00E60BE4" w:rsidP="00E60BE4">
            <w:pPr>
              <w:pStyle w:val="ListParagraph"/>
              <w:spacing w:after="200" w:line="276" w:lineRule="auto"/>
              <w:ind w:left="472"/>
              <w:contextualSpacing/>
              <w:rPr>
                <w:sz w:val="22"/>
                <w:szCs w:val="22"/>
                <w:lang w:val="lv-LV"/>
              </w:rPr>
            </w:pPr>
          </w:p>
        </w:tc>
      </w:tr>
      <w:tr w:rsidR="00E60BE4" w:rsidRPr="004D17A9" w14:paraId="6CDE0F7A" w14:textId="77777777" w:rsidTr="00FF0BC6">
        <w:trPr>
          <w:trHeight w:val="4942"/>
        </w:trPr>
        <w:tc>
          <w:tcPr>
            <w:tcW w:w="1938" w:type="dxa"/>
            <w:tcBorders>
              <w:top w:val="single" w:sz="4" w:space="0" w:color="auto"/>
              <w:left w:val="single" w:sz="4" w:space="0" w:color="auto"/>
              <w:bottom w:val="single" w:sz="4" w:space="0" w:color="auto"/>
              <w:right w:val="single" w:sz="4" w:space="0" w:color="auto"/>
            </w:tcBorders>
          </w:tcPr>
          <w:p w14:paraId="6AA3ACFB" w14:textId="77777777" w:rsidR="00E60BE4" w:rsidRPr="004D17A9" w:rsidRDefault="00E60BE4" w:rsidP="00FF0BC6">
            <w:pPr>
              <w:jc w:val="right"/>
              <w:rPr>
                <w:b/>
                <w:sz w:val="22"/>
                <w:szCs w:val="22"/>
                <w:lang w:val="lv-LV"/>
              </w:rPr>
            </w:pPr>
            <w:r w:rsidRPr="004D17A9">
              <w:rPr>
                <w:b/>
                <w:sz w:val="22"/>
                <w:szCs w:val="22"/>
                <w:lang w:val="lv-LV"/>
              </w:rPr>
              <w:t>NR.2</w:t>
            </w:r>
          </w:p>
          <w:p w14:paraId="2430132B" w14:textId="77777777" w:rsidR="00E60BE4" w:rsidRPr="004D17A9" w:rsidRDefault="00E60BE4" w:rsidP="00FF0BC6">
            <w:pPr>
              <w:ind w:left="16"/>
              <w:jc w:val="right"/>
              <w:rPr>
                <w:b/>
                <w:sz w:val="22"/>
                <w:szCs w:val="22"/>
                <w:lang w:val="lv-LV" w:eastAsia="en-GB"/>
              </w:rPr>
            </w:pPr>
            <w:r w:rsidRPr="004D17A9">
              <w:rPr>
                <w:b/>
                <w:sz w:val="22"/>
                <w:szCs w:val="22"/>
                <w:lang w:val="lv-LV" w:eastAsia="en-GB"/>
              </w:rPr>
              <w:t>Latvijas tiesiskuma un pretkorupcijas mehānismi</w:t>
            </w:r>
          </w:p>
        </w:tc>
        <w:tc>
          <w:tcPr>
            <w:tcW w:w="8268" w:type="dxa"/>
            <w:tcBorders>
              <w:top w:val="single" w:sz="4" w:space="0" w:color="auto"/>
              <w:left w:val="single" w:sz="4" w:space="0" w:color="auto"/>
              <w:bottom w:val="single" w:sz="4" w:space="0" w:color="auto"/>
              <w:right w:val="single" w:sz="4" w:space="0" w:color="auto"/>
            </w:tcBorders>
          </w:tcPr>
          <w:p w14:paraId="635C275E"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Interešu konflikts un tā veidi. Administratīvo aktu izdošanas, uzraudzības, kontroles, izziņas vai sodīšanas funkciju veikšanas un līgumu slēgšanas ierobežojumi.</w:t>
            </w:r>
          </w:p>
          <w:p w14:paraId="615F3DAD"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Vispārējie un speciālie valsts amatpersonas amata savienošanas ierobežojumi</w:t>
            </w:r>
          </w:p>
          <w:p w14:paraId="1DCE11B5"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Valsts amatpersonas amata savienošanas ierobežojumu izpildes kārtība, ja amata savienošana ir aizliegta, kā arī ja amata savienošanai nepieciešama atļauja</w:t>
            </w:r>
          </w:p>
          <w:p w14:paraId="058A09E6"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Ienākumu gūšanas un komercdarbības ierobežojumi</w:t>
            </w:r>
          </w:p>
          <w:p w14:paraId="1BAA786D"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Aizliegums ietekmēt administratīvo aktu izdošanu, kā arī uzraudzības, kontroles, izziņas un sodīšanas funkciju veikšanu</w:t>
            </w:r>
          </w:p>
          <w:p w14:paraId="75DAA617"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Vispārīgie un speciālie dāvanu pieņemšanas ierobežojumi (pildot valsts amatpersonas pienākumus un ārpus valsts amatpersonas pienākumu pildīšanas). Kukuļa atšķirība no dāvanas.</w:t>
            </w:r>
          </w:p>
          <w:p w14:paraId="6022BEE8"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Ziedojumu pieņemšanas ierobežojumi</w:t>
            </w:r>
          </w:p>
          <w:p w14:paraId="3002C28B"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Aizliegums būt par pārstāvi un saņemt papildu maksu</w:t>
            </w:r>
          </w:p>
          <w:p w14:paraId="74EE166D"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Reklamēšanas ierobežojumi</w:t>
            </w:r>
          </w:p>
          <w:p w14:paraId="6CDF3BD2"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Ierobežojums rīkoties ar publiskas personas institūcijas mantu</w:t>
            </w:r>
          </w:p>
          <w:p w14:paraId="4B06DA9A" w14:textId="77777777" w:rsidR="00E60BE4" w:rsidRPr="004D17A9" w:rsidRDefault="00E60BE4" w:rsidP="00E60BE4">
            <w:pPr>
              <w:pStyle w:val="ListParagraph"/>
              <w:numPr>
                <w:ilvl w:val="0"/>
                <w:numId w:val="1"/>
              </w:numPr>
              <w:spacing w:after="200" w:line="276" w:lineRule="auto"/>
              <w:ind w:left="376"/>
              <w:contextualSpacing/>
              <w:rPr>
                <w:sz w:val="22"/>
                <w:szCs w:val="22"/>
                <w:lang w:val="lv-LV"/>
              </w:rPr>
            </w:pPr>
            <w:r w:rsidRPr="004D17A9">
              <w:rPr>
                <w:sz w:val="22"/>
                <w:szCs w:val="22"/>
                <w:lang w:val="lv-LV"/>
              </w:rPr>
              <w:t>Informācijas izmantošanas aizliegums</w:t>
            </w:r>
          </w:p>
          <w:p w14:paraId="60FD34C3" w14:textId="2779A5F8" w:rsidR="00E60BE4" w:rsidRPr="00E60BE4" w:rsidRDefault="00E60BE4" w:rsidP="00E60BE4">
            <w:pPr>
              <w:spacing w:after="200" w:line="276" w:lineRule="auto"/>
              <w:ind w:left="16"/>
              <w:contextualSpacing/>
              <w:rPr>
                <w:sz w:val="22"/>
                <w:szCs w:val="22"/>
                <w:lang w:val="lv-LV"/>
              </w:rPr>
            </w:pPr>
          </w:p>
        </w:tc>
      </w:tr>
      <w:tr w:rsidR="00E60BE4" w:rsidRPr="004D17A9" w14:paraId="55E59D2F" w14:textId="77777777" w:rsidTr="00FF0BC6">
        <w:tc>
          <w:tcPr>
            <w:tcW w:w="1938" w:type="dxa"/>
            <w:tcBorders>
              <w:top w:val="single" w:sz="4" w:space="0" w:color="auto"/>
              <w:left w:val="single" w:sz="4" w:space="0" w:color="auto"/>
              <w:bottom w:val="single" w:sz="4" w:space="0" w:color="auto"/>
              <w:right w:val="single" w:sz="4" w:space="0" w:color="auto"/>
            </w:tcBorders>
          </w:tcPr>
          <w:p w14:paraId="1E04B814" w14:textId="77777777" w:rsidR="00E60BE4" w:rsidRPr="004D17A9" w:rsidRDefault="00E60BE4" w:rsidP="00FF0BC6">
            <w:pPr>
              <w:jc w:val="right"/>
              <w:rPr>
                <w:b/>
                <w:sz w:val="22"/>
                <w:szCs w:val="22"/>
                <w:lang w:val="lv-LV"/>
              </w:rPr>
            </w:pPr>
            <w:r w:rsidRPr="004D17A9">
              <w:rPr>
                <w:b/>
                <w:sz w:val="22"/>
                <w:szCs w:val="22"/>
                <w:lang w:val="lv-LV"/>
              </w:rPr>
              <w:t>NR.3</w:t>
            </w:r>
          </w:p>
          <w:p w14:paraId="36169B60" w14:textId="77777777" w:rsidR="00E60BE4" w:rsidRPr="004D17A9" w:rsidRDefault="00E60BE4" w:rsidP="00FF0BC6">
            <w:pPr>
              <w:ind w:left="16"/>
              <w:jc w:val="right"/>
              <w:rPr>
                <w:b/>
                <w:sz w:val="22"/>
                <w:szCs w:val="22"/>
                <w:lang w:val="lv-LV"/>
              </w:rPr>
            </w:pPr>
            <w:r w:rsidRPr="004D17A9">
              <w:rPr>
                <w:b/>
                <w:sz w:val="22"/>
                <w:szCs w:val="22"/>
                <w:lang w:val="lv-LV"/>
              </w:rPr>
              <w:t>Praktiski piemēri: publiskas personas institūcijas vadītāja un valsts amatpersonas pienākumi un tiesības interešu konflikta novēršanā</w:t>
            </w:r>
          </w:p>
        </w:tc>
        <w:tc>
          <w:tcPr>
            <w:tcW w:w="8268" w:type="dxa"/>
            <w:tcBorders>
              <w:top w:val="single" w:sz="4" w:space="0" w:color="auto"/>
              <w:left w:val="single" w:sz="4" w:space="0" w:color="auto"/>
              <w:bottom w:val="single" w:sz="4" w:space="0" w:color="auto"/>
              <w:right w:val="single" w:sz="4" w:space="0" w:color="auto"/>
            </w:tcBorders>
          </w:tcPr>
          <w:p w14:paraId="1C538FFD" w14:textId="77777777" w:rsidR="00E60BE4" w:rsidRPr="004D17A9" w:rsidRDefault="00E60BE4" w:rsidP="00E60BE4">
            <w:pPr>
              <w:pStyle w:val="ListParagraph"/>
              <w:numPr>
                <w:ilvl w:val="0"/>
                <w:numId w:val="2"/>
              </w:numPr>
              <w:spacing w:after="200" w:line="276" w:lineRule="auto"/>
              <w:ind w:left="376"/>
              <w:contextualSpacing/>
              <w:rPr>
                <w:sz w:val="22"/>
                <w:szCs w:val="22"/>
                <w:lang w:val="lv-LV"/>
              </w:rPr>
            </w:pPr>
            <w:r w:rsidRPr="004D17A9">
              <w:rPr>
                <w:sz w:val="22"/>
                <w:szCs w:val="22"/>
                <w:lang w:val="lv-LV"/>
              </w:rPr>
              <w:t>Institūcijas vadītāja, ka arī valsts amatpersonas pienākumi</w:t>
            </w:r>
          </w:p>
          <w:p w14:paraId="4CC795C8" w14:textId="77777777" w:rsidR="00E60BE4" w:rsidRPr="004D17A9" w:rsidRDefault="00E60BE4" w:rsidP="00E60BE4">
            <w:pPr>
              <w:pStyle w:val="ListParagraph"/>
              <w:numPr>
                <w:ilvl w:val="0"/>
                <w:numId w:val="2"/>
              </w:numPr>
              <w:spacing w:after="200" w:line="276" w:lineRule="auto"/>
              <w:ind w:left="376"/>
              <w:contextualSpacing/>
              <w:rPr>
                <w:sz w:val="22"/>
                <w:szCs w:val="22"/>
                <w:lang w:val="lv-LV"/>
              </w:rPr>
            </w:pPr>
            <w:r w:rsidRPr="004D17A9">
              <w:rPr>
                <w:sz w:val="22"/>
                <w:szCs w:val="22"/>
                <w:lang w:val="lv-LV"/>
              </w:rPr>
              <w:t>Informēšana par citu amatpersonu interešu konfliktiem</w:t>
            </w:r>
          </w:p>
          <w:p w14:paraId="1FC9EE54" w14:textId="77777777" w:rsidR="00E60BE4" w:rsidRPr="004D17A9" w:rsidRDefault="00E60BE4" w:rsidP="00E60BE4">
            <w:pPr>
              <w:pStyle w:val="ListParagraph"/>
              <w:numPr>
                <w:ilvl w:val="0"/>
                <w:numId w:val="2"/>
              </w:numPr>
              <w:spacing w:after="200" w:line="276" w:lineRule="auto"/>
              <w:ind w:left="376"/>
              <w:contextualSpacing/>
              <w:rPr>
                <w:sz w:val="22"/>
                <w:szCs w:val="22"/>
                <w:lang w:val="lv-LV"/>
              </w:rPr>
            </w:pPr>
            <w:r w:rsidRPr="004D17A9">
              <w:rPr>
                <w:sz w:val="22"/>
                <w:szCs w:val="22"/>
                <w:lang w:val="lv-LV"/>
              </w:rPr>
              <w:t>Valsts amatpersonu uzvedības (ētikas) noteikumi</w:t>
            </w:r>
          </w:p>
          <w:p w14:paraId="20C8C9BC" w14:textId="77777777" w:rsidR="00E60BE4" w:rsidRPr="004D17A9" w:rsidRDefault="00E60BE4" w:rsidP="00E60BE4">
            <w:pPr>
              <w:pStyle w:val="ListParagraph"/>
              <w:numPr>
                <w:ilvl w:val="0"/>
                <w:numId w:val="2"/>
              </w:numPr>
              <w:spacing w:after="200" w:line="276" w:lineRule="auto"/>
              <w:ind w:left="376"/>
              <w:contextualSpacing/>
              <w:rPr>
                <w:sz w:val="22"/>
                <w:szCs w:val="22"/>
                <w:lang w:val="lv-LV"/>
              </w:rPr>
            </w:pPr>
            <w:r w:rsidRPr="004D17A9">
              <w:rPr>
                <w:sz w:val="22"/>
                <w:szCs w:val="22"/>
                <w:lang w:val="lv-LV"/>
              </w:rPr>
              <w:t>Valsts amatpersonu un citu personu atbildība</w:t>
            </w:r>
          </w:p>
          <w:p w14:paraId="51EFF422" w14:textId="77777777" w:rsidR="00E60BE4" w:rsidRPr="004D17A9" w:rsidRDefault="00E60BE4" w:rsidP="00E60BE4">
            <w:pPr>
              <w:pStyle w:val="ListParagraph"/>
              <w:numPr>
                <w:ilvl w:val="0"/>
                <w:numId w:val="2"/>
              </w:numPr>
              <w:spacing w:after="200" w:line="276" w:lineRule="auto"/>
              <w:ind w:left="376"/>
              <w:contextualSpacing/>
              <w:rPr>
                <w:sz w:val="22"/>
                <w:szCs w:val="22"/>
                <w:lang w:val="lv-LV"/>
              </w:rPr>
            </w:pPr>
            <w:r w:rsidRPr="004D17A9">
              <w:rPr>
                <w:sz w:val="22"/>
                <w:szCs w:val="22"/>
                <w:lang w:val="lv-LV"/>
              </w:rPr>
              <w:t>Sabiedrības informēšana par pārkāpumu</w:t>
            </w:r>
          </w:p>
          <w:p w14:paraId="7D759716" w14:textId="77777777" w:rsidR="00E60BE4" w:rsidRPr="004D17A9" w:rsidRDefault="00E60BE4" w:rsidP="00E60BE4">
            <w:pPr>
              <w:pStyle w:val="ListParagraph"/>
              <w:numPr>
                <w:ilvl w:val="0"/>
                <w:numId w:val="2"/>
              </w:numPr>
              <w:spacing w:after="200" w:line="276" w:lineRule="auto"/>
              <w:ind w:left="376"/>
              <w:contextualSpacing/>
              <w:rPr>
                <w:sz w:val="22"/>
                <w:szCs w:val="22"/>
                <w:lang w:val="lv-LV"/>
              </w:rPr>
            </w:pPr>
            <w:r w:rsidRPr="004D17A9">
              <w:rPr>
                <w:sz w:val="22"/>
                <w:szCs w:val="22"/>
                <w:lang w:val="lv-LV"/>
              </w:rPr>
              <w:t>Trauksmes cēlēju aizsardzība</w:t>
            </w:r>
          </w:p>
          <w:p w14:paraId="233225EC" w14:textId="7D9B7752" w:rsidR="00E60BE4" w:rsidRPr="004D17A9" w:rsidRDefault="00E60BE4" w:rsidP="00E60BE4">
            <w:pPr>
              <w:pStyle w:val="ListParagraph"/>
              <w:spacing w:after="200" w:line="276" w:lineRule="auto"/>
              <w:ind w:left="376"/>
              <w:contextualSpacing/>
              <w:rPr>
                <w:sz w:val="22"/>
                <w:szCs w:val="22"/>
                <w:lang w:val="lv-LV"/>
              </w:rPr>
            </w:pPr>
          </w:p>
        </w:tc>
      </w:tr>
      <w:tr w:rsidR="00E60BE4" w:rsidRPr="008874F3" w14:paraId="46280BD2" w14:textId="77777777" w:rsidTr="00FF0BC6">
        <w:trPr>
          <w:trHeight w:val="5667"/>
        </w:trPr>
        <w:tc>
          <w:tcPr>
            <w:tcW w:w="1938" w:type="dxa"/>
            <w:tcBorders>
              <w:top w:val="single" w:sz="4" w:space="0" w:color="auto"/>
            </w:tcBorders>
          </w:tcPr>
          <w:p w14:paraId="64CBF4BB" w14:textId="77777777" w:rsidR="00E60BE4" w:rsidRPr="008874F3" w:rsidRDefault="00E60BE4" w:rsidP="00FF0BC6">
            <w:pPr>
              <w:tabs>
                <w:tab w:val="left" w:pos="851"/>
              </w:tabs>
              <w:rPr>
                <w:b/>
                <w:sz w:val="22"/>
                <w:szCs w:val="22"/>
                <w:lang w:val="lv-LV" w:eastAsia="en-GB"/>
              </w:rPr>
            </w:pPr>
            <w:r w:rsidRPr="008874F3">
              <w:rPr>
                <w:b/>
                <w:sz w:val="22"/>
                <w:szCs w:val="22"/>
                <w:lang w:val="lv-LV" w:eastAsia="en-GB"/>
              </w:rPr>
              <w:lastRenderedPageBreak/>
              <w:t>Plānotie rezultāti</w:t>
            </w:r>
          </w:p>
        </w:tc>
        <w:tc>
          <w:tcPr>
            <w:tcW w:w="8268" w:type="dxa"/>
            <w:tcBorders>
              <w:top w:val="single" w:sz="4" w:space="0" w:color="auto"/>
            </w:tcBorders>
          </w:tcPr>
          <w:p w14:paraId="7F788FE8" w14:textId="77777777" w:rsidR="00E60BE4" w:rsidRPr="008874F3" w:rsidRDefault="00E60BE4" w:rsidP="00FF0BC6">
            <w:pPr>
              <w:rPr>
                <w:b/>
                <w:color w:val="000000" w:themeColor="text1"/>
                <w:sz w:val="22"/>
                <w:szCs w:val="22"/>
                <w:lang w:val="lv-LV"/>
              </w:rPr>
            </w:pPr>
            <w:r w:rsidRPr="008874F3">
              <w:rPr>
                <w:b/>
                <w:bCs/>
                <w:color w:val="000000" w:themeColor="text1"/>
                <w:sz w:val="22"/>
                <w:szCs w:val="22"/>
                <w:lang w:val="lv-LV"/>
              </w:rPr>
              <w:t>Dalībnieku (klausītāju) ieguvumi:</w:t>
            </w:r>
            <w:r w:rsidRPr="008874F3">
              <w:rPr>
                <w:b/>
                <w:color w:val="000000" w:themeColor="text1"/>
                <w:sz w:val="22"/>
                <w:szCs w:val="22"/>
                <w:lang w:val="lv-LV"/>
              </w:rPr>
              <w:t xml:space="preserve"> </w:t>
            </w:r>
          </w:p>
          <w:p w14:paraId="4F35BFA6" w14:textId="77777777" w:rsidR="00E60BE4" w:rsidRPr="008874F3" w:rsidRDefault="00E60BE4" w:rsidP="00FF0BC6">
            <w:pPr>
              <w:pStyle w:val="ListParagraph"/>
              <w:tabs>
                <w:tab w:val="left" w:leader="dot" w:pos="9072"/>
              </w:tabs>
              <w:ind w:left="0"/>
              <w:jc w:val="both"/>
              <w:rPr>
                <w:color w:val="000000" w:themeColor="text1"/>
                <w:sz w:val="22"/>
                <w:szCs w:val="22"/>
                <w:lang w:val="lv-LV"/>
              </w:rPr>
            </w:pPr>
            <w:r w:rsidRPr="008874F3">
              <w:rPr>
                <w:b/>
                <w:bCs/>
                <w:color w:val="000000" w:themeColor="text1"/>
                <w:sz w:val="22"/>
                <w:szCs w:val="22"/>
                <w:lang w:val="lv-LV"/>
              </w:rPr>
              <w:t xml:space="preserve">Zināšanas: </w:t>
            </w:r>
          </w:p>
          <w:p w14:paraId="5C06339F" w14:textId="77777777" w:rsidR="00E60BE4" w:rsidRPr="008874F3"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Zināšanas un izpratne par likumā “Par interešu konflikta novēršanu valsts amatpersonu darbībā” noteiktajiem ierobežojumiem un aizliegumiem valsts amatpersonām</w:t>
            </w:r>
          </w:p>
          <w:p w14:paraId="74F73F50" w14:textId="77777777" w:rsidR="00E60BE4" w:rsidRPr="008874F3"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Praktiski uz tiesas spriedumiem balstīti piemēri par interešu konflikta situācijām</w:t>
            </w:r>
          </w:p>
          <w:p w14:paraId="4C44D720" w14:textId="77777777" w:rsidR="00E60BE4" w:rsidRPr="008874F3"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Izpratne par ētikas normām un principiem, pildot valsts amatpersonas pienākumus</w:t>
            </w:r>
          </w:p>
          <w:p w14:paraId="07FDB23B" w14:textId="77777777" w:rsidR="00E60BE4" w:rsidRPr="008874F3"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Izpratne par sekām, valsts amatpersonai pildot savus amata pienākumus interešu konflikta situācijā vai neievērojot noteiktos ierobežojumus un aizliegumus</w:t>
            </w:r>
          </w:p>
          <w:p w14:paraId="2AAB3F7A" w14:textId="77777777" w:rsidR="00E60BE4" w:rsidRPr="008874F3"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Zināšanas un prasmes iekšējās pretkorupcijas sistēmas efektivitātes līmeņa celšanai</w:t>
            </w:r>
          </w:p>
          <w:p w14:paraId="06AEEE16" w14:textId="77777777" w:rsidR="00E60BE4" w:rsidRPr="004D17A9"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Izpratne par ētikas lomu korupcijas mazināšanā, kā arī nozīmi darbinieku ētiskas rīcības veicināšanā</w:t>
            </w:r>
            <w:r>
              <w:rPr>
                <w:color w:val="000000" w:themeColor="text1"/>
                <w:sz w:val="22"/>
                <w:szCs w:val="22"/>
                <w:lang w:val="lv-LV"/>
              </w:rPr>
              <w:t>, u.c.</w:t>
            </w:r>
          </w:p>
          <w:p w14:paraId="7FF06F65" w14:textId="77777777" w:rsidR="00E60BE4" w:rsidRPr="008874F3" w:rsidRDefault="00E60BE4" w:rsidP="00FF0BC6">
            <w:pPr>
              <w:spacing w:before="100" w:beforeAutospacing="1" w:after="100" w:afterAutospacing="1"/>
              <w:ind w:left="16"/>
              <w:jc w:val="both"/>
              <w:rPr>
                <w:color w:val="000000" w:themeColor="text1"/>
                <w:sz w:val="22"/>
                <w:szCs w:val="22"/>
                <w:lang w:val="lv-LV"/>
              </w:rPr>
            </w:pPr>
            <w:r w:rsidRPr="008874F3">
              <w:rPr>
                <w:b/>
                <w:bCs/>
                <w:color w:val="000000" w:themeColor="text1"/>
                <w:sz w:val="22"/>
                <w:szCs w:val="22"/>
                <w:lang w:val="lv-LV"/>
              </w:rPr>
              <w:t xml:space="preserve">Prasmes: </w:t>
            </w:r>
          </w:p>
          <w:p w14:paraId="45EE78BE" w14:textId="77777777" w:rsidR="00E60BE4" w:rsidRPr="008874F3"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Spēja identificēt un novērst interešu konflikt</w:t>
            </w:r>
            <w:r>
              <w:rPr>
                <w:color w:val="000000" w:themeColor="text1"/>
                <w:sz w:val="22"/>
                <w:szCs w:val="22"/>
                <w:lang w:val="lv-LV"/>
              </w:rPr>
              <w:t>u</w:t>
            </w:r>
            <w:r w:rsidRPr="008874F3">
              <w:rPr>
                <w:color w:val="000000" w:themeColor="text1"/>
                <w:sz w:val="22"/>
                <w:szCs w:val="22"/>
                <w:lang w:val="lv-LV"/>
              </w:rPr>
              <w:t>, pildot darba pienākumus</w:t>
            </w:r>
          </w:p>
          <w:p w14:paraId="689ADF06" w14:textId="77777777" w:rsidR="00E60BE4" w:rsidRPr="008874F3"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Spēja analizēt savu pieņemto lēmumu tiesiskumu</w:t>
            </w:r>
          </w:p>
          <w:p w14:paraId="186AC665" w14:textId="77777777" w:rsidR="00E60BE4" w:rsidRPr="008874F3"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Spēja identificēt un analizēt korupcijas riska zonas un apstākļus, kas veicina korupciju vai atsevišķa indivīda rīcībā</w:t>
            </w:r>
          </w:p>
          <w:p w14:paraId="5349C2AB" w14:textId="77777777" w:rsidR="00E60BE4" w:rsidRPr="008874F3" w:rsidRDefault="00E60BE4" w:rsidP="00E60BE4">
            <w:pPr>
              <w:numPr>
                <w:ilvl w:val="0"/>
                <w:numId w:val="3"/>
              </w:numPr>
              <w:tabs>
                <w:tab w:val="clear" w:pos="720"/>
              </w:tabs>
              <w:spacing w:before="100" w:beforeAutospacing="1" w:after="100" w:afterAutospacing="1"/>
              <w:ind w:left="376"/>
              <w:jc w:val="both"/>
              <w:rPr>
                <w:color w:val="000000" w:themeColor="text1"/>
                <w:sz w:val="22"/>
                <w:szCs w:val="22"/>
                <w:lang w:val="lv-LV"/>
              </w:rPr>
            </w:pPr>
            <w:r w:rsidRPr="008874F3">
              <w:rPr>
                <w:color w:val="000000" w:themeColor="text1"/>
                <w:sz w:val="22"/>
                <w:szCs w:val="22"/>
                <w:lang w:val="lv-LV"/>
              </w:rPr>
              <w:t>Spēja pārzināt korupcijas profilakses metodes un galvenos novēršanas pasākumus</w:t>
            </w:r>
          </w:p>
          <w:p w14:paraId="4FBDF9E1" w14:textId="28F5D51E" w:rsidR="00E60BE4" w:rsidRPr="008874F3" w:rsidRDefault="00E60BE4" w:rsidP="00E60BE4">
            <w:pPr>
              <w:spacing w:before="100" w:beforeAutospacing="1" w:after="100" w:afterAutospacing="1"/>
              <w:ind w:left="376"/>
              <w:jc w:val="both"/>
              <w:rPr>
                <w:color w:val="000000" w:themeColor="text1"/>
                <w:sz w:val="22"/>
                <w:szCs w:val="22"/>
                <w:lang w:val="lv-LV"/>
              </w:rPr>
            </w:pPr>
          </w:p>
        </w:tc>
      </w:tr>
      <w:tr w:rsidR="00E60BE4" w:rsidRPr="008874F3" w14:paraId="0DD2C737" w14:textId="77777777" w:rsidTr="00FF0BC6">
        <w:trPr>
          <w:trHeight w:val="1144"/>
        </w:trPr>
        <w:tc>
          <w:tcPr>
            <w:tcW w:w="1938" w:type="dxa"/>
          </w:tcPr>
          <w:p w14:paraId="095A6463" w14:textId="77777777" w:rsidR="00E60BE4" w:rsidRPr="008874F3" w:rsidRDefault="00E60BE4" w:rsidP="00FF0BC6">
            <w:pPr>
              <w:tabs>
                <w:tab w:val="left" w:pos="851"/>
              </w:tabs>
              <w:rPr>
                <w:b/>
                <w:sz w:val="22"/>
                <w:szCs w:val="22"/>
                <w:lang w:val="lv-LV" w:eastAsia="en-GB"/>
              </w:rPr>
            </w:pPr>
            <w:r w:rsidRPr="008874F3">
              <w:rPr>
                <w:b/>
                <w:sz w:val="22"/>
                <w:szCs w:val="22"/>
                <w:lang w:val="lv-LV" w:eastAsia="en-GB"/>
              </w:rPr>
              <w:t>Vērtēšanas kārtība</w:t>
            </w:r>
          </w:p>
        </w:tc>
        <w:tc>
          <w:tcPr>
            <w:tcW w:w="8268" w:type="dxa"/>
          </w:tcPr>
          <w:p w14:paraId="6BC9EF6C" w14:textId="77777777" w:rsidR="00E60BE4" w:rsidRPr="008874F3" w:rsidRDefault="00E60BE4" w:rsidP="00FF0BC6">
            <w:pPr>
              <w:rPr>
                <w:color w:val="000000" w:themeColor="text1"/>
                <w:sz w:val="22"/>
                <w:szCs w:val="22"/>
                <w:lang w:val="lv-LV"/>
              </w:rPr>
            </w:pPr>
            <w:r w:rsidRPr="008874F3">
              <w:rPr>
                <w:color w:val="000000" w:themeColor="text1"/>
                <w:sz w:val="22"/>
                <w:szCs w:val="22"/>
                <w:lang w:val="lv-LV"/>
              </w:rPr>
              <w:t>Klausītāju aktīva dalība lekcijas (semināra) laikā.</w:t>
            </w:r>
          </w:p>
          <w:p w14:paraId="3CF2EAAF" w14:textId="77777777" w:rsidR="00E60BE4" w:rsidRPr="008874F3" w:rsidRDefault="00E60BE4" w:rsidP="00FF0BC6">
            <w:pPr>
              <w:rPr>
                <w:bCs/>
                <w:color w:val="000000" w:themeColor="text1"/>
                <w:sz w:val="22"/>
                <w:szCs w:val="22"/>
                <w:lang w:val="lv-LV"/>
              </w:rPr>
            </w:pPr>
            <w:r w:rsidRPr="008874F3">
              <w:rPr>
                <w:bCs/>
                <w:color w:val="000000" w:themeColor="text1"/>
                <w:sz w:val="22"/>
                <w:szCs w:val="22"/>
                <w:lang w:val="lv-LV"/>
              </w:rPr>
              <w:t>Praktisko uzdevumu risināšana individuāli un grupās</w:t>
            </w:r>
          </w:p>
          <w:p w14:paraId="4E221D81" w14:textId="77777777" w:rsidR="00E60BE4" w:rsidRPr="008874F3" w:rsidRDefault="00E60BE4" w:rsidP="00FF0BC6">
            <w:pPr>
              <w:rPr>
                <w:b/>
                <w:color w:val="000000" w:themeColor="text1"/>
                <w:sz w:val="22"/>
                <w:szCs w:val="22"/>
                <w:lang w:val="lv-LV" w:eastAsia="en-GB"/>
              </w:rPr>
            </w:pPr>
            <w:r w:rsidRPr="008874F3">
              <w:rPr>
                <w:bCs/>
                <w:color w:val="000000" w:themeColor="text1"/>
                <w:sz w:val="22"/>
                <w:szCs w:val="22"/>
                <w:lang w:val="lv-LV"/>
              </w:rPr>
              <w:t>Aptaujas (tests) par izglītības programmas satura apguvi un izglītības programmas realizācija lietderību un kvalitāti</w:t>
            </w:r>
          </w:p>
        </w:tc>
      </w:tr>
      <w:tr w:rsidR="00E60BE4" w:rsidRPr="008874F3" w14:paraId="3DD3DA09" w14:textId="77777777" w:rsidTr="00FF0BC6">
        <w:trPr>
          <w:trHeight w:val="1118"/>
        </w:trPr>
        <w:tc>
          <w:tcPr>
            <w:tcW w:w="1938" w:type="dxa"/>
          </w:tcPr>
          <w:p w14:paraId="6A314B4A" w14:textId="77777777" w:rsidR="00E60BE4" w:rsidRPr="008874F3" w:rsidRDefault="00E60BE4" w:rsidP="00FF0BC6">
            <w:pPr>
              <w:tabs>
                <w:tab w:val="left" w:pos="851"/>
              </w:tabs>
              <w:rPr>
                <w:b/>
                <w:sz w:val="22"/>
                <w:szCs w:val="22"/>
                <w:lang w:val="lv-LV" w:eastAsia="en-GB"/>
              </w:rPr>
            </w:pPr>
            <w:r w:rsidRPr="008874F3">
              <w:rPr>
                <w:b/>
                <w:sz w:val="22"/>
                <w:szCs w:val="22"/>
                <w:lang w:val="lv-LV" w:eastAsia="en-GB"/>
              </w:rPr>
              <w:t>Metodes</w:t>
            </w:r>
          </w:p>
        </w:tc>
        <w:tc>
          <w:tcPr>
            <w:tcW w:w="8268" w:type="dxa"/>
          </w:tcPr>
          <w:p w14:paraId="00224C93" w14:textId="77777777" w:rsidR="00E60BE4" w:rsidRPr="008874F3" w:rsidRDefault="00E60BE4" w:rsidP="00FF0BC6">
            <w:pPr>
              <w:contextualSpacing/>
              <w:rPr>
                <w:sz w:val="22"/>
                <w:szCs w:val="22"/>
                <w:lang w:val="lv-LV"/>
              </w:rPr>
            </w:pPr>
            <w:r w:rsidRPr="008874F3">
              <w:rPr>
                <w:color w:val="000000" w:themeColor="text1"/>
                <w:sz w:val="22"/>
                <w:szCs w:val="22"/>
                <w:lang w:val="lv-LV"/>
              </w:rPr>
              <w:t xml:space="preserve">Pieaugušo neformālās izglītības programmas realizācija notiek interaktīvā veidā, lasot lekcijas, ilustrējot tās ar PowerPoint prezentācijām, uzdodot jautājumus dalībniekiem (klausītājiem), atbildot uz jautājumiem un rosinot diskusijas, iniciējot dažādu situāciju izspēli un analīzi. </w:t>
            </w:r>
            <w:r w:rsidRPr="008874F3">
              <w:rPr>
                <w:sz w:val="22"/>
                <w:szCs w:val="22"/>
                <w:lang w:val="lv-LV"/>
              </w:rPr>
              <w:t>Praktiskie uzdevumi. Video un audio materiāli.</w:t>
            </w:r>
          </w:p>
          <w:p w14:paraId="3EE04C17" w14:textId="77777777" w:rsidR="00E60BE4" w:rsidRPr="008874F3" w:rsidRDefault="00E60BE4" w:rsidP="00FF0BC6">
            <w:pPr>
              <w:contextualSpacing/>
              <w:rPr>
                <w:b/>
                <w:color w:val="000000" w:themeColor="text1"/>
                <w:sz w:val="22"/>
                <w:szCs w:val="22"/>
                <w:lang w:val="lv-LV" w:eastAsia="en-GB"/>
              </w:rPr>
            </w:pPr>
          </w:p>
        </w:tc>
      </w:tr>
      <w:tr w:rsidR="00E60BE4" w:rsidRPr="008874F3" w14:paraId="422CC4D3" w14:textId="77777777" w:rsidTr="00FF0BC6">
        <w:trPr>
          <w:trHeight w:val="1406"/>
        </w:trPr>
        <w:tc>
          <w:tcPr>
            <w:tcW w:w="1938" w:type="dxa"/>
          </w:tcPr>
          <w:p w14:paraId="03605EAB" w14:textId="77777777" w:rsidR="00E60BE4" w:rsidRPr="008874F3" w:rsidRDefault="00E60BE4" w:rsidP="00FF0BC6">
            <w:pPr>
              <w:tabs>
                <w:tab w:val="left" w:pos="851"/>
              </w:tabs>
              <w:rPr>
                <w:b/>
                <w:sz w:val="22"/>
                <w:szCs w:val="22"/>
                <w:lang w:val="lv-LV" w:eastAsia="en-GB"/>
              </w:rPr>
            </w:pPr>
            <w:r w:rsidRPr="008874F3">
              <w:rPr>
                <w:b/>
                <w:sz w:val="22"/>
                <w:szCs w:val="22"/>
                <w:lang w:val="lv-LV" w:eastAsia="en-GB"/>
              </w:rPr>
              <w:t xml:space="preserve">Nepieciešamie līdzekļi </w:t>
            </w:r>
          </w:p>
          <w:p w14:paraId="231C7FF8" w14:textId="77777777" w:rsidR="00E60BE4" w:rsidRPr="008874F3" w:rsidRDefault="00E60BE4" w:rsidP="00FF0BC6">
            <w:pPr>
              <w:tabs>
                <w:tab w:val="left" w:pos="851"/>
              </w:tabs>
              <w:rPr>
                <w:b/>
                <w:sz w:val="22"/>
                <w:szCs w:val="22"/>
                <w:lang w:val="lv-LV" w:eastAsia="en-GB"/>
              </w:rPr>
            </w:pPr>
          </w:p>
        </w:tc>
        <w:tc>
          <w:tcPr>
            <w:tcW w:w="8268" w:type="dxa"/>
          </w:tcPr>
          <w:p w14:paraId="17660944" w14:textId="77777777" w:rsidR="00E60BE4" w:rsidRPr="008874F3" w:rsidRDefault="00E60BE4" w:rsidP="00FF0BC6">
            <w:pPr>
              <w:tabs>
                <w:tab w:val="left" w:leader="dot" w:pos="9072"/>
              </w:tabs>
              <w:jc w:val="both"/>
              <w:rPr>
                <w:bCs/>
                <w:color w:val="000000" w:themeColor="text1"/>
                <w:sz w:val="22"/>
                <w:szCs w:val="22"/>
                <w:lang w:val="lv-LV"/>
              </w:rPr>
            </w:pPr>
            <w:r w:rsidRPr="008874F3">
              <w:rPr>
                <w:bCs/>
                <w:color w:val="000000" w:themeColor="text1"/>
                <w:sz w:val="22"/>
                <w:szCs w:val="22"/>
                <w:lang w:val="lv-LV"/>
              </w:rPr>
              <w:t>Pieaugušo neformālās izglītības programmas tēmas tiek pasniegtas, izmantojot Pasūtītāja telpas, PowerPoint prezentācijas datorprogrammu, Pasūtītāja datoru un projektoru, izdales materiālus,</w:t>
            </w:r>
            <w:r w:rsidRPr="008874F3">
              <w:rPr>
                <w:sz w:val="22"/>
                <w:szCs w:val="22"/>
                <w:lang w:val="lv-LV"/>
              </w:rPr>
              <w:t xml:space="preserve"> Pasūtītāju </w:t>
            </w:r>
            <w:r w:rsidRPr="008874F3">
              <w:rPr>
                <w:bCs/>
                <w:color w:val="000000" w:themeColor="text1"/>
                <w:sz w:val="22"/>
                <w:szCs w:val="22"/>
                <w:lang w:val="lv-LV"/>
              </w:rPr>
              <w:t>papīra lokšņu statīvu vai tāfeli, dažādas krāsas mārkerus, audiovizuālus materiālus, piekļuvi internetam u.c.</w:t>
            </w:r>
          </w:p>
          <w:p w14:paraId="407E23B6" w14:textId="77777777" w:rsidR="00E60BE4" w:rsidRPr="008874F3" w:rsidRDefault="00E60BE4" w:rsidP="00FF0BC6">
            <w:pPr>
              <w:tabs>
                <w:tab w:val="left" w:leader="dot" w:pos="9072"/>
              </w:tabs>
              <w:jc w:val="both"/>
              <w:rPr>
                <w:b/>
                <w:color w:val="000000" w:themeColor="text1"/>
                <w:sz w:val="22"/>
                <w:szCs w:val="22"/>
                <w:lang w:val="lv-LV" w:eastAsia="en-GB"/>
              </w:rPr>
            </w:pPr>
            <w:r w:rsidRPr="008874F3">
              <w:rPr>
                <w:bCs/>
                <w:color w:val="000000" w:themeColor="text1"/>
                <w:sz w:val="22"/>
                <w:szCs w:val="22"/>
                <w:lang w:val="lv-LV"/>
              </w:rPr>
              <w:t>Izmantoti un ieteicami informācijas avoti publiski pieejami interneta resursos.</w:t>
            </w:r>
          </w:p>
        </w:tc>
      </w:tr>
    </w:tbl>
    <w:p w14:paraId="0B21DBF4" w14:textId="77777777" w:rsidR="00C23748" w:rsidRPr="00E60BE4" w:rsidRDefault="00C23748">
      <w:pPr>
        <w:rPr>
          <w:lang w:val="lv-LV"/>
        </w:rPr>
      </w:pPr>
    </w:p>
    <w:sectPr w:rsidR="00C23748" w:rsidRPr="00E60B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2348"/>
    <w:multiLevelType w:val="multilevel"/>
    <w:tmpl w:val="3AA67D8A"/>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60568"/>
    <w:multiLevelType w:val="hybridMultilevel"/>
    <w:tmpl w:val="2430AD04"/>
    <w:lvl w:ilvl="0" w:tplc="0426000F">
      <w:start w:val="1"/>
      <w:numFmt w:val="decimal"/>
      <w:lvlText w:val="%1."/>
      <w:lvlJc w:val="left"/>
      <w:pPr>
        <w:ind w:left="736" w:hanging="360"/>
      </w:p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abstractNum w:abstractNumId="2" w15:restartNumberingAfterBreak="0">
    <w:nsid w:val="61E13F11"/>
    <w:multiLevelType w:val="hybridMultilevel"/>
    <w:tmpl w:val="69D2144E"/>
    <w:lvl w:ilvl="0" w:tplc="0426000F">
      <w:start w:val="1"/>
      <w:numFmt w:val="decimal"/>
      <w:lvlText w:val="%1."/>
      <w:lvlJc w:val="left"/>
      <w:pPr>
        <w:ind w:left="736" w:hanging="360"/>
      </w:p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abstractNum w:abstractNumId="3" w15:restartNumberingAfterBreak="0">
    <w:nsid w:val="6C42619C"/>
    <w:multiLevelType w:val="hybridMultilevel"/>
    <w:tmpl w:val="F72AC22C"/>
    <w:lvl w:ilvl="0" w:tplc="0426000F">
      <w:start w:val="1"/>
      <w:numFmt w:val="decimal"/>
      <w:lvlText w:val="%1."/>
      <w:lvlJc w:val="left"/>
      <w:pPr>
        <w:ind w:left="736" w:hanging="360"/>
      </w:p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E4"/>
    <w:rsid w:val="00C23748"/>
    <w:rsid w:val="00E60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646D"/>
  <w15:chartTrackingRefBased/>
  <w15:docId w15:val="{20B30125-CF13-4FA2-A07B-FF6D2193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E4"/>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E4"/>
    <w:pPr>
      <w:ind w:left="720"/>
    </w:pPr>
  </w:style>
  <w:style w:type="table" w:styleId="TableGrid">
    <w:name w:val="Table Grid"/>
    <w:basedOn w:val="TableNormal"/>
    <w:uiPriority w:val="59"/>
    <w:rsid w:val="00E60BE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2735</Words>
  <Characters>1559</Characters>
  <Application>Microsoft Office Word</Application>
  <DocSecurity>0</DocSecurity>
  <Lines>12</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Rimsane</dc:creator>
  <cp:keywords/>
  <dc:description/>
  <cp:lastModifiedBy>Inta Rimsane</cp:lastModifiedBy>
  <cp:revision>1</cp:revision>
  <dcterms:created xsi:type="dcterms:W3CDTF">2020-07-29T10:26:00Z</dcterms:created>
  <dcterms:modified xsi:type="dcterms:W3CDTF">2020-07-29T10:28:00Z</dcterms:modified>
</cp:coreProperties>
</file>