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6DE75" w14:textId="77777777" w:rsidR="00B249AA" w:rsidRPr="00B249AA" w:rsidRDefault="00B249AA" w:rsidP="00B249AA">
      <w:pPr>
        <w:jc w:val="center"/>
        <w:rPr>
          <w:sz w:val="24"/>
          <w:szCs w:val="22"/>
          <w:lang w:val="lv-LV"/>
        </w:rPr>
      </w:pPr>
      <w:r w:rsidRPr="00B249AA">
        <w:rPr>
          <w:sz w:val="24"/>
          <w:szCs w:val="22"/>
          <w:lang w:val="lv-LV"/>
        </w:rPr>
        <w:t>PASKAIDROJUMA RAKSTS</w:t>
      </w:r>
    </w:p>
    <w:p w14:paraId="1F60D8EA" w14:textId="50E4A55E" w:rsidR="00B249AA" w:rsidRPr="00B249AA" w:rsidRDefault="00B249AA" w:rsidP="00B249AA">
      <w:pPr>
        <w:jc w:val="center"/>
        <w:rPr>
          <w:b/>
          <w:bCs/>
          <w:sz w:val="24"/>
          <w:szCs w:val="22"/>
          <w:lang w:val="lv-LV"/>
        </w:rPr>
      </w:pPr>
      <w:r w:rsidRPr="00B249AA">
        <w:rPr>
          <w:b/>
          <w:bCs/>
          <w:sz w:val="24"/>
          <w:szCs w:val="22"/>
          <w:lang w:val="lv-LV"/>
        </w:rPr>
        <w:t>Rēzeknes novada pašvaldības 2020.gada 6.</w:t>
      </w:r>
      <w:r w:rsidR="00AD160E">
        <w:rPr>
          <w:b/>
          <w:bCs/>
          <w:sz w:val="24"/>
          <w:szCs w:val="22"/>
          <w:lang w:val="lv-LV"/>
        </w:rPr>
        <w:t xml:space="preserve">augusta </w:t>
      </w:r>
      <w:r w:rsidRPr="00B249AA">
        <w:rPr>
          <w:b/>
          <w:bCs/>
          <w:sz w:val="24"/>
          <w:szCs w:val="22"/>
          <w:lang w:val="lv-LV"/>
        </w:rPr>
        <w:t xml:space="preserve">saistošie noteikumi Nr.68 “Par Rēzeknes novada pagastu robežu maiņu administratīvās teritorijas ietvaros” </w:t>
      </w:r>
    </w:p>
    <w:p w14:paraId="616E5B81" w14:textId="77777777" w:rsidR="00B249AA" w:rsidRPr="00B249AA" w:rsidRDefault="00B249AA" w:rsidP="00B249AA">
      <w:pPr>
        <w:jc w:val="center"/>
        <w:rPr>
          <w:i/>
          <w:iCs/>
          <w:sz w:val="24"/>
          <w:szCs w:val="22"/>
          <w:lang w:val="lv-LV"/>
        </w:rPr>
      </w:pPr>
    </w:p>
    <w:p w14:paraId="2BF2CBBC" w14:textId="77777777" w:rsidR="003868BD" w:rsidRPr="00B249AA" w:rsidRDefault="003868BD" w:rsidP="003868BD">
      <w:pPr>
        <w:jc w:val="center"/>
        <w:rPr>
          <w:i/>
          <w:iCs/>
          <w:sz w:val="24"/>
          <w:szCs w:val="22"/>
          <w:lang w:val="lv-LV"/>
        </w:rPr>
      </w:pPr>
    </w:p>
    <w:tbl>
      <w:tblPr>
        <w:tblW w:w="92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18"/>
        <w:gridCol w:w="6780"/>
      </w:tblGrid>
      <w:tr w:rsidR="003868BD" w:rsidRPr="00B249AA" w14:paraId="191D310A" w14:textId="77777777" w:rsidTr="009040DA">
        <w:trPr>
          <w:trHeight w:val="515"/>
        </w:trPr>
        <w:tc>
          <w:tcPr>
            <w:tcW w:w="2518" w:type="dxa"/>
            <w:shd w:val="clear" w:color="auto" w:fill="auto"/>
            <w:vAlign w:val="center"/>
          </w:tcPr>
          <w:p w14:paraId="1C7EBC72" w14:textId="77777777" w:rsidR="003868BD" w:rsidRPr="00B249AA" w:rsidRDefault="003868BD" w:rsidP="009040DA">
            <w:pPr>
              <w:jc w:val="center"/>
              <w:rPr>
                <w:b/>
                <w:bCs/>
                <w:sz w:val="22"/>
                <w:szCs w:val="22"/>
                <w:lang w:val="lv-LV"/>
              </w:rPr>
            </w:pPr>
            <w:r w:rsidRPr="00B249AA">
              <w:rPr>
                <w:b/>
                <w:bCs/>
                <w:sz w:val="22"/>
                <w:szCs w:val="22"/>
                <w:lang w:val="lv-LV"/>
              </w:rPr>
              <w:t>Paskaidrojuma raksta sadaļas</w:t>
            </w:r>
          </w:p>
        </w:tc>
        <w:tc>
          <w:tcPr>
            <w:tcW w:w="6780" w:type="dxa"/>
            <w:shd w:val="clear" w:color="auto" w:fill="auto"/>
            <w:vAlign w:val="center"/>
          </w:tcPr>
          <w:p w14:paraId="45103063" w14:textId="77777777" w:rsidR="003868BD" w:rsidRPr="00B249AA" w:rsidRDefault="003868BD" w:rsidP="009040DA">
            <w:pPr>
              <w:jc w:val="center"/>
              <w:rPr>
                <w:b/>
                <w:bCs/>
                <w:sz w:val="22"/>
                <w:szCs w:val="22"/>
                <w:lang w:val="lv-LV"/>
              </w:rPr>
            </w:pPr>
            <w:r w:rsidRPr="00B249AA">
              <w:rPr>
                <w:b/>
                <w:bCs/>
                <w:sz w:val="22"/>
                <w:szCs w:val="22"/>
                <w:lang w:val="lv-LV"/>
              </w:rPr>
              <w:t>Norādāmā informācija</w:t>
            </w:r>
          </w:p>
        </w:tc>
      </w:tr>
      <w:tr w:rsidR="003868BD" w:rsidRPr="00F170B2" w14:paraId="0C2D26E4" w14:textId="77777777" w:rsidTr="009040DA">
        <w:trPr>
          <w:trHeight w:val="1134"/>
        </w:trPr>
        <w:tc>
          <w:tcPr>
            <w:tcW w:w="2518" w:type="dxa"/>
            <w:shd w:val="clear" w:color="auto" w:fill="auto"/>
          </w:tcPr>
          <w:p w14:paraId="0FEF15C4" w14:textId="77777777" w:rsidR="003868BD" w:rsidRPr="00B249AA" w:rsidRDefault="003868BD" w:rsidP="009040DA">
            <w:pPr>
              <w:numPr>
                <w:ilvl w:val="0"/>
                <w:numId w:val="1"/>
              </w:numPr>
              <w:ind w:left="426" w:hanging="284"/>
              <w:rPr>
                <w:bCs/>
                <w:sz w:val="22"/>
                <w:szCs w:val="22"/>
                <w:lang w:val="lv-LV"/>
              </w:rPr>
            </w:pPr>
            <w:r w:rsidRPr="00B249AA">
              <w:rPr>
                <w:bCs/>
                <w:sz w:val="22"/>
                <w:szCs w:val="22"/>
                <w:lang w:val="lv-LV"/>
              </w:rPr>
              <w:t>Projekta nepieciešamības pamatojums</w:t>
            </w:r>
          </w:p>
        </w:tc>
        <w:tc>
          <w:tcPr>
            <w:tcW w:w="6780" w:type="dxa"/>
            <w:shd w:val="clear" w:color="auto" w:fill="auto"/>
          </w:tcPr>
          <w:p w14:paraId="6222BE77" w14:textId="6220017F" w:rsidR="003868BD" w:rsidRPr="00B249AA" w:rsidRDefault="003868BD" w:rsidP="009040DA">
            <w:pPr>
              <w:ind w:firstLine="720"/>
              <w:jc w:val="both"/>
              <w:rPr>
                <w:sz w:val="22"/>
                <w:szCs w:val="22"/>
                <w:lang w:val="lv-LV"/>
              </w:rPr>
            </w:pPr>
            <w:r w:rsidRPr="00B249AA">
              <w:rPr>
                <w:sz w:val="22"/>
                <w:szCs w:val="22"/>
                <w:lang w:val="lv-LV"/>
              </w:rPr>
              <w:t xml:space="preserve">Rēzeknes novada pašvaldība 2016.gada 3.novembrī pieņēma lēmumu “Par Rēzeknes novada teritorijas plānojuma 2013.–2024. gadam grozījumu izstrādes uzsākšanu”. Nepieciešamība veikt izmaiņas esošajā teritorijas plānojumā radās, pamatojoties uz saņemtajiem privātpersonu iesniegumiem. Uzsākot darbu pie teritorijas plānojuma grozījumu izstrādes, radās nepieciešamība sakārtot arī citus jautājumus. Lēmums par jauna Teritorijas plānojuma izstrādi Rēzeknes novada pašvaldībā tika pieņemts 2019.gada 21.martā domes sēdē (lēmums Nr.7. (9.§)). Tika izveidots priekšlikums, kas paredz Maltas pagasta un Lūznavas pagasta robežu maiņu, kā arī Griškānu pagasta un Ozolaines pagasta robežu maiņu. </w:t>
            </w:r>
          </w:p>
          <w:p w14:paraId="69F1D942" w14:textId="77777777" w:rsidR="003868BD" w:rsidRPr="00B249AA" w:rsidRDefault="003868BD" w:rsidP="009040DA">
            <w:pPr>
              <w:ind w:firstLine="720"/>
              <w:jc w:val="both"/>
              <w:rPr>
                <w:sz w:val="22"/>
                <w:szCs w:val="22"/>
                <w:lang w:val="lv-LV"/>
              </w:rPr>
            </w:pPr>
            <w:r w:rsidRPr="00B249AA">
              <w:rPr>
                <w:sz w:val="22"/>
                <w:szCs w:val="22"/>
                <w:lang w:val="lv-LV"/>
              </w:rPr>
              <w:t>Ņemot vērā, ka lielākā daļa no Maltas ciema teritorijas atrodas Maltas pagasta teritorijā, bet neliela plānotā ciema teritorijas daļa – Lūznavas pagastā, Teritorijas plānojumā tika iekļauts priekšlikums Maltas pagasta teritorijas un Lūznavas pagasta teritorijas administratīvo vienību robežu maiņai, pievienojot Maltas pagasta teritorijai Maltas ciemam pievienoto Lūznavas pagasta teritorijas daļu.</w:t>
            </w:r>
          </w:p>
          <w:p w14:paraId="7E28A6BE" w14:textId="77777777" w:rsidR="003868BD" w:rsidRPr="00B249AA" w:rsidRDefault="003868BD" w:rsidP="009040DA">
            <w:pPr>
              <w:ind w:firstLine="720"/>
              <w:jc w:val="both"/>
              <w:rPr>
                <w:sz w:val="22"/>
                <w:szCs w:val="22"/>
                <w:lang w:val="lv-LV"/>
              </w:rPr>
            </w:pPr>
            <w:r w:rsidRPr="00B249AA">
              <w:rPr>
                <w:sz w:val="22"/>
                <w:szCs w:val="22"/>
                <w:lang w:val="lv-LV"/>
              </w:rPr>
              <w:t xml:space="preserve">Savukārt, ņemot vērā, ka neliela daļa no ciema </w:t>
            </w:r>
            <w:proofErr w:type="spellStart"/>
            <w:r w:rsidRPr="00B249AA">
              <w:rPr>
                <w:sz w:val="22"/>
                <w:szCs w:val="22"/>
                <w:lang w:val="lv-LV"/>
              </w:rPr>
              <w:t>Pleikšņi</w:t>
            </w:r>
            <w:proofErr w:type="spellEnd"/>
            <w:r w:rsidRPr="00B249AA">
              <w:rPr>
                <w:sz w:val="22"/>
                <w:szCs w:val="22"/>
                <w:lang w:val="lv-LV"/>
              </w:rPr>
              <w:t xml:space="preserve"> robežās plānoto esošo blīvas apbūves teritoriju (bijušā kooperatīva “Centība” teritorija) atrodas Griškānu pagasta teritorijā, bet lielākā daļa </w:t>
            </w:r>
            <w:proofErr w:type="spellStart"/>
            <w:r w:rsidRPr="00B249AA">
              <w:rPr>
                <w:sz w:val="22"/>
                <w:szCs w:val="22"/>
                <w:lang w:val="lv-LV"/>
              </w:rPr>
              <w:t>Pleikšņu</w:t>
            </w:r>
            <w:proofErr w:type="spellEnd"/>
            <w:r w:rsidRPr="00B249AA">
              <w:rPr>
                <w:sz w:val="22"/>
                <w:szCs w:val="22"/>
                <w:lang w:val="lv-LV"/>
              </w:rPr>
              <w:t xml:space="preserve">  ciemā iekļauto blīvas apbūves teritoriju atrodas Ozolaines pagastā, Teritorijas plānojumā  iekļauts arī priekšlikums Ozolaines pagasta teritorijas un Griškānu pagasta teritorijas administratīvo vienību robežu maiņai, pievienojot Ozolaines pagasta teritorijai </w:t>
            </w:r>
            <w:proofErr w:type="spellStart"/>
            <w:r w:rsidRPr="00B249AA">
              <w:rPr>
                <w:sz w:val="22"/>
                <w:szCs w:val="22"/>
                <w:lang w:val="lv-LV"/>
              </w:rPr>
              <w:t>Pleikšņu</w:t>
            </w:r>
            <w:proofErr w:type="spellEnd"/>
            <w:r w:rsidRPr="00B249AA">
              <w:rPr>
                <w:sz w:val="22"/>
                <w:szCs w:val="22"/>
                <w:lang w:val="lv-LV"/>
              </w:rPr>
              <w:t xml:space="preserve"> ciemā iekļauto Griškānu pagasta teritorijas daļu.  </w:t>
            </w:r>
          </w:p>
          <w:p w14:paraId="7891CB32" w14:textId="77777777" w:rsidR="003868BD" w:rsidRPr="00B249AA" w:rsidRDefault="003868BD" w:rsidP="009040DA">
            <w:pPr>
              <w:ind w:firstLine="720"/>
              <w:jc w:val="both"/>
              <w:rPr>
                <w:sz w:val="22"/>
                <w:szCs w:val="22"/>
                <w:lang w:val="lv-LV"/>
              </w:rPr>
            </w:pPr>
            <w:r w:rsidRPr="00B249AA">
              <w:rPr>
                <w:sz w:val="22"/>
                <w:szCs w:val="22"/>
                <w:lang w:val="lv-LV"/>
              </w:rPr>
              <w:t>Ministru kabineta noteikumi Nr.216 “Administratīvo teritoriju un to teritoriālā iedalījuma vienību robežu noteikšanas, kā arī aprakstu sagatavošanas un aktualizēšanas kārtība” 27.punkts nosaka, ka “</w:t>
            </w:r>
            <w:r w:rsidRPr="00B249AA">
              <w:rPr>
                <w:i/>
                <w:iCs/>
                <w:sz w:val="22"/>
                <w:szCs w:val="22"/>
                <w:lang w:val="lv-LV"/>
              </w:rPr>
              <w:t>lai grozītu administratīvās teritorijas vai tās teritoriālā iedalījuma vienības robežu, pašvaldība, izmantojot apstiprināto administratīvās teritorijas robežas aprakstu, robežas karti un kadastra kartes datus, sagatavo grozāmā robežas posma robežas aprakstu un robežas karti</w:t>
            </w:r>
            <w:r w:rsidRPr="00B249AA">
              <w:rPr>
                <w:sz w:val="22"/>
                <w:szCs w:val="22"/>
                <w:lang w:val="lv-LV"/>
              </w:rPr>
              <w:t>”, 8.punkts nosaka, ka “</w:t>
            </w:r>
            <w:r w:rsidRPr="00B249AA">
              <w:rPr>
                <w:i/>
                <w:iCs/>
                <w:sz w:val="22"/>
                <w:szCs w:val="22"/>
                <w:lang w:val="lv-LV"/>
              </w:rPr>
              <w:t>pašvaldība sagatavo un ar saistošajiem noteikumiem apstiprina administratīvās teritorijas teritoriālā iedalījuma vienības robežas aprakstu un robežas karti</w:t>
            </w:r>
            <w:r w:rsidRPr="00B249AA">
              <w:rPr>
                <w:sz w:val="22"/>
                <w:szCs w:val="22"/>
                <w:lang w:val="lv-LV"/>
              </w:rPr>
              <w:t>”. Izpildot Ministru kabineta noteikumos noteikto, pašvaldība ir sagatavojusi grozāmās robežas posma robežu aprakstu un robežu karti, kas ir jāapstiprina ar saistošajiem noteikumiem.</w:t>
            </w:r>
          </w:p>
        </w:tc>
      </w:tr>
      <w:tr w:rsidR="003868BD" w:rsidRPr="00F170B2" w14:paraId="78534B7E" w14:textId="77777777" w:rsidTr="009040DA">
        <w:trPr>
          <w:trHeight w:val="1134"/>
        </w:trPr>
        <w:tc>
          <w:tcPr>
            <w:tcW w:w="2518" w:type="dxa"/>
            <w:shd w:val="clear" w:color="auto" w:fill="auto"/>
          </w:tcPr>
          <w:p w14:paraId="3B39B7B2" w14:textId="77777777" w:rsidR="003868BD" w:rsidRPr="00B249AA" w:rsidRDefault="003868BD" w:rsidP="009040DA">
            <w:pPr>
              <w:numPr>
                <w:ilvl w:val="0"/>
                <w:numId w:val="1"/>
              </w:numPr>
              <w:ind w:left="426" w:hanging="284"/>
              <w:rPr>
                <w:bCs/>
                <w:sz w:val="22"/>
                <w:szCs w:val="22"/>
                <w:lang w:val="lv-LV"/>
              </w:rPr>
            </w:pPr>
            <w:r w:rsidRPr="00B249AA">
              <w:rPr>
                <w:bCs/>
                <w:sz w:val="22"/>
                <w:szCs w:val="22"/>
                <w:lang w:val="lv-LV"/>
              </w:rPr>
              <w:t>Īss projekta satura izklāsts</w:t>
            </w:r>
          </w:p>
        </w:tc>
        <w:tc>
          <w:tcPr>
            <w:tcW w:w="6780" w:type="dxa"/>
            <w:shd w:val="clear" w:color="auto" w:fill="auto"/>
          </w:tcPr>
          <w:p w14:paraId="3048EA5A" w14:textId="77777777" w:rsidR="003868BD" w:rsidRPr="00B249AA" w:rsidRDefault="003868BD" w:rsidP="009040DA">
            <w:pPr>
              <w:jc w:val="both"/>
              <w:rPr>
                <w:bCs/>
                <w:sz w:val="22"/>
                <w:szCs w:val="22"/>
                <w:lang w:val="lv-LV"/>
              </w:rPr>
            </w:pPr>
            <w:r w:rsidRPr="00B249AA">
              <w:rPr>
                <w:bCs/>
                <w:sz w:val="22"/>
                <w:szCs w:val="22"/>
                <w:lang w:val="lv-LV"/>
              </w:rPr>
              <w:t>Saistošie noteikumi apstiprina Rēzeknes novada teritoriālā iedalījuma vienību Maltas pagasta, Lūznavas pagasta, Griškānu pagasta un Ozolaines pagasta robežu aprakstu un robežu karti.</w:t>
            </w:r>
          </w:p>
        </w:tc>
      </w:tr>
      <w:tr w:rsidR="003868BD" w:rsidRPr="00F170B2" w14:paraId="74057AFE" w14:textId="77777777" w:rsidTr="009040DA">
        <w:trPr>
          <w:trHeight w:val="1134"/>
        </w:trPr>
        <w:tc>
          <w:tcPr>
            <w:tcW w:w="2518" w:type="dxa"/>
            <w:shd w:val="clear" w:color="auto" w:fill="auto"/>
          </w:tcPr>
          <w:p w14:paraId="2E8427F2" w14:textId="77777777" w:rsidR="003868BD" w:rsidRPr="00B249AA" w:rsidRDefault="003868BD" w:rsidP="009040DA">
            <w:pPr>
              <w:numPr>
                <w:ilvl w:val="0"/>
                <w:numId w:val="1"/>
              </w:numPr>
              <w:ind w:left="426" w:hanging="284"/>
              <w:rPr>
                <w:bCs/>
                <w:sz w:val="22"/>
                <w:szCs w:val="22"/>
                <w:lang w:val="lv-LV"/>
              </w:rPr>
            </w:pPr>
            <w:r w:rsidRPr="00B249AA">
              <w:rPr>
                <w:bCs/>
                <w:sz w:val="22"/>
                <w:szCs w:val="22"/>
                <w:lang w:val="lv-LV"/>
              </w:rPr>
              <w:t>Informācija par plānoto projekta ietekmi uz pašvaldību budžetu</w:t>
            </w:r>
          </w:p>
        </w:tc>
        <w:tc>
          <w:tcPr>
            <w:tcW w:w="6780" w:type="dxa"/>
            <w:shd w:val="clear" w:color="auto" w:fill="auto"/>
          </w:tcPr>
          <w:p w14:paraId="1EFD3C78" w14:textId="77777777" w:rsidR="003868BD" w:rsidRPr="00B249AA" w:rsidRDefault="003868BD" w:rsidP="009040DA">
            <w:pPr>
              <w:jc w:val="both"/>
              <w:rPr>
                <w:bCs/>
                <w:sz w:val="22"/>
                <w:szCs w:val="22"/>
                <w:highlight w:val="yellow"/>
                <w:lang w:val="lv-LV"/>
              </w:rPr>
            </w:pPr>
            <w:r w:rsidRPr="00B249AA">
              <w:rPr>
                <w:bCs/>
                <w:sz w:val="22"/>
                <w:szCs w:val="22"/>
                <w:lang w:val="lv-LV"/>
              </w:rPr>
              <w:t>Nav būtiskas ietekmes uz pašvaldības budžetu.</w:t>
            </w:r>
          </w:p>
        </w:tc>
      </w:tr>
      <w:tr w:rsidR="003868BD" w:rsidRPr="00F170B2" w14:paraId="26FB429F" w14:textId="77777777" w:rsidTr="009040DA">
        <w:trPr>
          <w:trHeight w:val="1134"/>
        </w:trPr>
        <w:tc>
          <w:tcPr>
            <w:tcW w:w="2518" w:type="dxa"/>
            <w:shd w:val="clear" w:color="auto" w:fill="auto"/>
          </w:tcPr>
          <w:p w14:paraId="114C5358" w14:textId="77777777" w:rsidR="003868BD" w:rsidRPr="00B249AA" w:rsidRDefault="003868BD" w:rsidP="009040DA">
            <w:pPr>
              <w:numPr>
                <w:ilvl w:val="0"/>
                <w:numId w:val="1"/>
              </w:numPr>
              <w:ind w:left="426" w:hanging="284"/>
              <w:rPr>
                <w:bCs/>
                <w:sz w:val="22"/>
                <w:szCs w:val="22"/>
                <w:lang w:val="lv-LV"/>
              </w:rPr>
            </w:pPr>
            <w:r w:rsidRPr="00B249AA">
              <w:rPr>
                <w:bCs/>
                <w:sz w:val="22"/>
                <w:szCs w:val="22"/>
                <w:lang w:val="lv-LV"/>
              </w:rPr>
              <w:lastRenderedPageBreak/>
              <w:t>Informācija par plānoto projekta ietekmi un uzņēmējdarbības vidi pašvaldības teritorijā</w:t>
            </w:r>
          </w:p>
        </w:tc>
        <w:tc>
          <w:tcPr>
            <w:tcW w:w="6780" w:type="dxa"/>
            <w:shd w:val="clear" w:color="auto" w:fill="auto"/>
          </w:tcPr>
          <w:p w14:paraId="38260E31" w14:textId="77777777" w:rsidR="003868BD" w:rsidRPr="00B249AA" w:rsidRDefault="003868BD" w:rsidP="009040DA">
            <w:pPr>
              <w:jc w:val="both"/>
              <w:rPr>
                <w:bCs/>
                <w:sz w:val="22"/>
                <w:szCs w:val="22"/>
                <w:lang w:val="lv-LV"/>
              </w:rPr>
            </w:pPr>
            <w:r w:rsidRPr="00B249AA">
              <w:rPr>
                <w:bCs/>
                <w:sz w:val="22"/>
                <w:szCs w:val="22"/>
                <w:lang w:val="lv-LV"/>
              </w:rPr>
              <w:t>Saistošie noteikumi nerada būtisku ietekmi uz uzņēmējdarbības vidi pašvaldības teritorijā.</w:t>
            </w:r>
          </w:p>
        </w:tc>
      </w:tr>
      <w:tr w:rsidR="003868BD" w:rsidRPr="00B249AA" w14:paraId="77B469DD" w14:textId="77777777" w:rsidTr="009040DA">
        <w:trPr>
          <w:trHeight w:val="1134"/>
        </w:trPr>
        <w:tc>
          <w:tcPr>
            <w:tcW w:w="2518" w:type="dxa"/>
            <w:shd w:val="clear" w:color="auto" w:fill="auto"/>
          </w:tcPr>
          <w:p w14:paraId="103798EB" w14:textId="77777777" w:rsidR="003868BD" w:rsidRPr="00B249AA" w:rsidRDefault="003868BD" w:rsidP="009040DA">
            <w:pPr>
              <w:numPr>
                <w:ilvl w:val="0"/>
                <w:numId w:val="1"/>
              </w:numPr>
              <w:ind w:left="426" w:hanging="284"/>
              <w:rPr>
                <w:bCs/>
                <w:sz w:val="22"/>
                <w:szCs w:val="22"/>
                <w:lang w:val="lv-LV"/>
              </w:rPr>
            </w:pPr>
            <w:r w:rsidRPr="00B249AA">
              <w:rPr>
                <w:bCs/>
                <w:sz w:val="22"/>
                <w:szCs w:val="22"/>
                <w:lang w:val="lv-LV"/>
              </w:rPr>
              <w:t>Informācija par administratīvajām procedūrām</w:t>
            </w:r>
          </w:p>
        </w:tc>
        <w:tc>
          <w:tcPr>
            <w:tcW w:w="6780" w:type="dxa"/>
            <w:shd w:val="clear" w:color="auto" w:fill="auto"/>
          </w:tcPr>
          <w:p w14:paraId="3FF229F7" w14:textId="77777777" w:rsidR="003868BD" w:rsidRPr="00B249AA" w:rsidRDefault="003868BD" w:rsidP="009040DA">
            <w:pPr>
              <w:jc w:val="both"/>
              <w:rPr>
                <w:bCs/>
                <w:sz w:val="22"/>
                <w:szCs w:val="22"/>
                <w:lang w:val="lv-LV"/>
              </w:rPr>
            </w:pPr>
            <w:r w:rsidRPr="00B249AA">
              <w:rPr>
                <w:bCs/>
                <w:sz w:val="22"/>
                <w:szCs w:val="22"/>
                <w:lang w:val="lv-LV"/>
              </w:rPr>
              <w:t>Personas var griezties saistošo noteikumu piemērošanā Rēzeknes novada pašvaldībā.</w:t>
            </w:r>
          </w:p>
          <w:p w14:paraId="4840C438" w14:textId="77777777" w:rsidR="003868BD" w:rsidRPr="00B249AA" w:rsidRDefault="003868BD" w:rsidP="009040DA">
            <w:pPr>
              <w:jc w:val="both"/>
              <w:rPr>
                <w:bCs/>
                <w:sz w:val="22"/>
                <w:szCs w:val="22"/>
                <w:lang w:val="lv-LV"/>
              </w:rPr>
            </w:pPr>
          </w:p>
        </w:tc>
      </w:tr>
      <w:tr w:rsidR="003868BD" w:rsidRPr="00F170B2" w14:paraId="089147E3" w14:textId="77777777" w:rsidTr="009040DA">
        <w:trPr>
          <w:trHeight w:val="1134"/>
        </w:trPr>
        <w:tc>
          <w:tcPr>
            <w:tcW w:w="2518" w:type="dxa"/>
            <w:shd w:val="clear" w:color="auto" w:fill="auto"/>
          </w:tcPr>
          <w:p w14:paraId="5F4E351A" w14:textId="77777777" w:rsidR="003868BD" w:rsidRPr="00B249AA" w:rsidRDefault="003868BD" w:rsidP="009040DA">
            <w:pPr>
              <w:numPr>
                <w:ilvl w:val="0"/>
                <w:numId w:val="1"/>
              </w:numPr>
              <w:ind w:left="426" w:hanging="284"/>
              <w:rPr>
                <w:bCs/>
                <w:sz w:val="22"/>
                <w:szCs w:val="22"/>
                <w:lang w:val="lv-LV"/>
              </w:rPr>
            </w:pPr>
            <w:r w:rsidRPr="00B249AA">
              <w:rPr>
                <w:bCs/>
                <w:sz w:val="22"/>
                <w:szCs w:val="22"/>
                <w:lang w:val="lv-LV"/>
              </w:rPr>
              <w:t>Informācija par konsultācijā ar privātpersonām</w:t>
            </w:r>
          </w:p>
        </w:tc>
        <w:tc>
          <w:tcPr>
            <w:tcW w:w="6780" w:type="dxa"/>
            <w:shd w:val="clear" w:color="auto" w:fill="auto"/>
          </w:tcPr>
          <w:p w14:paraId="5657FCFD" w14:textId="77777777" w:rsidR="003868BD" w:rsidRPr="00B249AA" w:rsidRDefault="003868BD" w:rsidP="009040DA">
            <w:pPr>
              <w:jc w:val="both"/>
              <w:rPr>
                <w:bCs/>
                <w:sz w:val="22"/>
                <w:szCs w:val="22"/>
                <w:lang w:val="lv-LV"/>
              </w:rPr>
            </w:pPr>
            <w:r w:rsidRPr="00B249AA">
              <w:rPr>
                <w:bCs/>
                <w:sz w:val="22"/>
                <w:szCs w:val="22"/>
                <w:lang w:val="lv-LV"/>
              </w:rPr>
              <w:t xml:space="preserve">Iedzīvotāju informēšana un viedokļa, kā arī priekšlikumu uzklausīšana notikusi, izstrādājot Rēzeknes novada teritorijas plānojumu, Sabiedriskās apriešanas laikā. </w:t>
            </w:r>
          </w:p>
        </w:tc>
      </w:tr>
    </w:tbl>
    <w:p w14:paraId="1EE67397" w14:textId="77777777" w:rsidR="00B249AA" w:rsidRPr="00B249AA" w:rsidRDefault="00B249AA" w:rsidP="00B249AA">
      <w:pPr>
        <w:jc w:val="center"/>
        <w:rPr>
          <w:sz w:val="24"/>
          <w:szCs w:val="22"/>
          <w:lang w:val="lv-LV"/>
        </w:rPr>
      </w:pPr>
    </w:p>
    <w:p w14:paraId="68424C65" w14:textId="0D8CED5A" w:rsidR="00726DE9" w:rsidRPr="00AD160E" w:rsidRDefault="00AD160E">
      <w:pPr>
        <w:rPr>
          <w:sz w:val="24"/>
          <w:lang w:val="lv-LV"/>
        </w:rPr>
      </w:pPr>
      <w:r w:rsidRPr="00AD160E">
        <w:rPr>
          <w:sz w:val="24"/>
          <w:lang w:val="lv-LV"/>
        </w:rPr>
        <w:t>Domes priekšsēdētājs</w:t>
      </w:r>
      <w:r w:rsidRPr="00AD160E">
        <w:rPr>
          <w:sz w:val="24"/>
          <w:lang w:val="lv-LV"/>
        </w:rPr>
        <w:tab/>
      </w:r>
      <w:r w:rsidRPr="00AD160E">
        <w:rPr>
          <w:sz w:val="24"/>
          <w:lang w:val="lv-LV"/>
        </w:rPr>
        <w:tab/>
      </w:r>
      <w:r w:rsidRPr="00AD160E">
        <w:rPr>
          <w:sz w:val="24"/>
          <w:lang w:val="lv-LV"/>
        </w:rPr>
        <w:tab/>
      </w:r>
      <w:r w:rsidRPr="00AD160E">
        <w:rPr>
          <w:sz w:val="24"/>
          <w:lang w:val="lv-LV"/>
        </w:rPr>
        <w:tab/>
      </w:r>
      <w:r w:rsidRPr="00AD160E">
        <w:rPr>
          <w:sz w:val="24"/>
          <w:lang w:val="lv-LV"/>
        </w:rPr>
        <w:tab/>
      </w:r>
      <w:proofErr w:type="spellStart"/>
      <w:r w:rsidRPr="00AD160E">
        <w:rPr>
          <w:sz w:val="24"/>
          <w:lang w:val="lv-LV"/>
        </w:rPr>
        <w:t>M.Švarcs</w:t>
      </w:r>
      <w:proofErr w:type="spellEnd"/>
    </w:p>
    <w:sectPr w:rsidR="00726DE9" w:rsidRPr="00AD160E" w:rsidSect="00DE2519">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8B4C0" w14:textId="77777777" w:rsidR="00C92362" w:rsidRDefault="00C92362" w:rsidP="00BE4904">
      <w:r>
        <w:separator/>
      </w:r>
    </w:p>
  </w:endnote>
  <w:endnote w:type="continuationSeparator" w:id="0">
    <w:p w14:paraId="45E82D56" w14:textId="77777777" w:rsidR="00C92362" w:rsidRDefault="00C92362" w:rsidP="00BE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009179"/>
      <w:docPartObj>
        <w:docPartGallery w:val="Page Numbers (Bottom of Page)"/>
        <w:docPartUnique/>
      </w:docPartObj>
    </w:sdtPr>
    <w:sdtEndPr>
      <w:rPr>
        <w:noProof/>
      </w:rPr>
    </w:sdtEndPr>
    <w:sdtContent>
      <w:p w14:paraId="12A6D257" w14:textId="45259824" w:rsidR="00BE4904" w:rsidRDefault="00BE49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678171" w14:textId="77777777" w:rsidR="00BE4904" w:rsidRDefault="00BE4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DA6F9" w14:textId="77777777" w:rsidR="00C92362" w:rsidRDefault="00C92362" w:rsidP="00BE4904">
      <w:r>
        <w:separator/>
      </w:r>
    </w:p>
  </w:footnote>
  <w:footnote w:type="continuationSeparator" w:id="0">
    <w:p w14:paraId="64167625" w14:textId="77777777" w:rsidR="00C92362" w:rsidRDefault="00C92362" w:rsidP="00BE4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7B7AAC"/>
    <w:multiLevelType w:val="hybridMultilevel"/>
    <w:tmpl w:val="F35A8B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AA"/>
    <w:rsid w:val="003859A4"/>
    <w:rsid w:val="003868BD"/>
    <w:rsid w:val="00643212"/>
    <w:rsid w:val="00726DE9"/>
    <w:rsid w:val="00784D7D"/>
    <w:rsid w:val="00AD160E"/>
    <w:rsid w:val="00B249AA"/>
    <w:rsid w:val="00BA19F6"/>
    <w:rsid w:val="00BE4904"/>
    <w:rsid w:val="00BF6458"/>
    <w:rsid w:val="00C92362"/>
    <w:rsid w:val="00D92EAB"/>
    <w:rsid w:val="00F249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5137"/>
  <w15:chartTrackingRefBased/>
  <w15:docId w15:val="{BB01C29F-544B-4F40-BAF8-F440DE53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9AA"/>
    <w:pPr>
      <w:jc w:val="left"/>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904"/>
    <w:pPr>
      <w:tabs>
        <w:tab w:val="center" w:pos="4153"/>
        <w:tab w:val="right" w:pos="8306"/>
      </w:tabs>
    </w:pPr>
  </w:style>
  <w:style w:type="character" w:customStyle="1" w:styleId="HeaderChar">
    <w:name w:val="Header Char"/>
    <w:basedOn w:val="DefaultParagraphFont"/>
    <w:link w:val="Header"/>
    <w:uiPriority w:val="99"/>
    <w:rsid w:val="00BE4904"/>
    <w:rPr>
      <w:rFonts w:ascii="Times New Roman" w:eastAsia="Times New Roman" w:hAnsi="Times New Roman" w:cs="Times New Roman"/>
      <w:sz w:val="28"/>
      <w:szCs w:val="24"/>
      <w:lang w:val="en-GB"/>
    </w:rPr>
  </w:style>
  <w:style w:type="paragraph" w:styleId="Footer">
    <w:name w:val="footer"/>
    <w:basedOn w:val="Normal"/>
    <w:link w:val="FooterChar"/>
    <w:uiPriority w:val="99"/>
    <w:unhideWhenUsed/>
    <w:rsid w:val="00BE4904"/>
    <w:pPr>
      <w:tabs>
        <w:tab w:val="center" w:pos="4153"/>
        <w:tab w:val="right" w:pos="8306"/>
      </w:tabs>
    </w:pPr>
  </w:style>
  <w:style w:type="character" w:customStyle="1" w:styleId="FooterChar">
    <w:name w:val="Footer Char"/>
    <w:basedOn w:val="DefaultParagraphFont"/>
    <w:link w:val="Footer"/>
    <w:uiPriority w:val="99"/>
    <w:rsid w:val="00BE4904"/>
    <w:rPr>
      <w:rFonts w:ascii="Times New Roman" w:eastAsia="Times New Roman" w:hAnsi="Times New Roman"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F409E-754B-4B4C-923C-CEE2607A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2285</Words>
  <Characters>1304</Characters>
  <Application>Microsoft Office Word</Application>
  <DocSecurity>0</DocSecurity>
  <Lines>10</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Zvidrins</dc:creator>
  <cp:keywords/>
  <dc:description/>
  <cp:lastModifiedBy>Iveta Ladna</cp:lastModifiedBy>
  <cp:revision>2</cp:revision>
  <dcterms:created xsi:type="dcterms:W3CDTF">2020-08-03T13:10:00Z</dcterms:created>
  <dcterms:modified xsi:type="dcterms:W3CDTF">2020-08-03T13:10:00Z</dcterms:modified>
</cp:coreProperties>
</file>