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5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1"/>
        <w:gridCol w:w="6764"/>
      </w:tblGrid>
      <w:tr w:rsidR="00DD799C" w:rsidRPr="00DD799C" w:rsidTr="00D63815">
        <w:trPr>
          <w:trHeight w:hRule="exact" w:val="209"/>
        </w:trPr>
        <w:tc>
          <w:tcPr>
            <w:tcW w:w="2401" w:type="dxa"/>
            <w:hideMark/>
          </w:tcPr>
          <w:p w:rsidR="00DD799C" w:rsidRPr="00DD799C" w:rsidRDefault="00DD799C" w:rsidP="00DD799C">
            <w:pPr>
              <w:widowControl w:val="0"/>
              <w:suppressLineNumbers/>
              <w:suppressAutoHyphens/>
              <w:jc w:val="right"/>
              <w:rPr>
                <w:rFonts w:eastAsia="Lucida Sans Unicode" w:cs="Tahoma"/>
                <w:lang w:eastAsia="en-US"/>
              </w:rPr>
            </w:pPr>
          </w:p>
        </w:tc>
        <w:tc>
          <w:tcPr>
            <w:tcW w:w="6764" w:type="dxa"/>
            <w:hideMark/>
          </w:tcPr>
          <w:p w:rsidR="00DD799C" w:rsidRPr="00DD799C" w:rsidRDefault="00DD799C" w:rsidP="0096280B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/>
              <w:ind w:right="19"/>
              <w:rPr>
                <w:rFonts w:eastAsia="Lucida Sans Unicode" w:cs="Tahoma"/>
                <w:lang w:eastAsia="en-US"/>
              </w:rPr>
            </w:pPr>
          </w:p>
        </w:tc>
      </w:tr>
      <w:tr w:rsidR="00DD799C" w:rsidRPr="00DD799C" w:rsidTr="00D63815">
        <w:tblPrEx>
          <w:tblLook w:val="0000" w:firstRow="0" w:lastRow="0" w:firstColumn="0" w:lastColumn="0" w:noHBand="0" w:noVBand="0"/>
        </w:tblPrEx>
        <w:trPr>
          <w:trHeight w:hRule="exact" w:val="2326"/>
        </w:trPr>
        <w:tc>
          <w:tcPr>
            <w:tcW w:w="2401" w:type="dxa"/>
          </w:tcPr>
          <w:p w:rsidR="00DD799C" w:rsidRPr="00DD799C" w:rsidRDefault="00DD799C" w:rsidP="00DD799C">
            <w:pPr>
              <w:widowControl w:val="0"/>
              <w:suppressLineNumbers/>
              <w:suppressAutoHyphens/>
              <w:jc w:val="right"/>
              <w:rPr>
                <w:rFonts w:eastAsia="Lucida Sans Unicode" w:cs="Tahoma"/>
                <w:lang w:eastAsia="en-US"/>
              </w:rPr>
            </w:pPr>
            <w:r w:rsidRPr="00DD799C">
              <w:rPr>
                <w:rFonts w:eastAsia="Lucida Sans Unicode" w:cs="Tahoma"/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98425</wp:posOffset>
                  </wp:positionV>
                  <wp:extent cx="786130" cy="920115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920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DD799C" w:rsidRPr="00DD799C" w:rsidRDefault="00DD799C" w:rsidP="00DD799C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DD799C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DD799C" w:rsidRPr="00DD799C" w:rsidRDefault="00DD799C" w:rsidP="00DD799C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20"/>
                <w:szCs w:val="20"/>
                <w:lang w:eastAsia="ar-SA"/>
              </w:rPr>
            </w:pPr>
            <w:r w:rsidRPr="00DD799C">
              <w:rPr>
                <w:rFonts w:ascii="Verdana" w:hAnsi="Verdana"/>
                <w:caps/>
                <w:sz w:val="20"/>
                <w:szCs w:val="20"/>
                <w:lang w:eastAsia="ar-SA"/>
              </w:rPr>
              <w:t>Reģ.Nr.90009112679</w:t>
            </w:r>
          </w:p>
          <w:p w:rsidR="00DD799C" w:rsidRPr="00DD799C" w:rsidRDefault="00DD799C" w:rsidP="00DD799C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DD799C">
              <w:rPr>
                <w:rFonts w:ascii="Verdana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DD799C" w:rsidRPr="00DD799C" w:rsidRDefault="00DD799C" w:rsidP="00DD799C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DD799C">
              <w:rPr>
                <w:rFonts w:ascii="Verdana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:rsidR="00DD799C" w:rsidRPr="00DD799C" w:rsidRDefault="00DD799C" w:rsidP="00DD799C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DD799C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5" w:history="1">
              <w:r w:rsidRPr="00DD799C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info@rezeknesnovads.lv</w:t>
              </w:r>
            </w:hyperlink>
          </w:p>
          <w:p w:rsidR="00DD799C" w:rsidRPr="00DD799C" w:rsidRDefault="0096280B" w:rsidP="00DD799C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en-US"/>
              </w:rPr>
            </w:pPr>
            <w:bookmarkStart w:id="0" w:name="_GoBack"/>
            <w:r w:rsidRPr="00DD799C">
              <w:rPr>
                <w:rFonts w:eastAsia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53ADF1" wp14:editId="3644D7BC">
                      <wp:simplePos x="0" y="0"/>
                      <wp:positionH relativeFrom="column">
                        <wp:posOffset>-1803054</wp:posOffset>
                      </wp:positionH>
                      <wp:positionV relativeFrom="paragraph">
                        <wp:posOffset>312420</wp:posOffset>
                      </wp:positionV>
                      <wp:extent cx="5890895" cy="0"/>
                      <wp:effectExtent l="7620" t="6985" r="6985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0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2AC4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1.95pt,24.6pt" to="321.9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"/>
                  </w:pict>
                </mc:Fallback>
              </mc:AlternateContent>
            </w:r>
            <w:bookmarkEnd w:id="0"/>
            <w:r w:rsidR="00DD799C" w:rsidRPr="00DD799C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6" w:history="1">
              <w:r w:rsidR="00DD799C" w:rsidRPr="00DD799C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http://www.rezeknesnovads.lv</w:t>
              </w:r>
            </w:hyperlink>
          </w:p>
        </w:tc>
      </w:tr>
    </w:tbl>
    <w:p w:rsidR="00DD799C" w:rsidRPr="00DD799C" w:rsidRDefault="00DD799C" w:rsidP="00DD799C">
      <w:pPr>
        <w:autoSpaceDE w:val="0"/>
        <w:autoSpaceDN w:val="0"/>
        <w:adjustRightInd w:val="0"/>
        <w:jc w:val="center"/>
        <w:rPr>
          <w:b/>
        </w:rPr>
      </w:pPr>
      <w:r w:rsidRPr="00DD799C">
        <w:rPr>
          <w:b/>
        </w:rPr>
        <w:t>Paskaidrojuma raksts</w:t>
      </w:r>
    </w:p>
    <w:p w:rsidR="001F201C" w:rsidRPr="001F201C" w:rsidRDefault="001F201C" w:rsidP="00ED5AF1">
      <w:pPr>
        <w:ind w:right="186"/>
        <w:jc w:val="center"/>
        <w:rPr>
          <w:b/>
        </w:rPr>
      </w:pPr>
      <w:r w:rsidRPr="001F201C">
        <w:rPr>
          <w:b/>
        </w:rPr>
        <w:t xml:space="preserve">Rēzeknes novada pašvaldības </w:t>
      </w:r>
      <w:r w:rsidR="00DD799C">
        <w:rPr>
          <w:b/>
        </w:rPr>
        <w:t>saistošajiem noteikumiem Nr.66</w:t>
      </w:r>
    </w:p>
    <w:p w:rsidR="001F201C" w:rsidRPr="001F201C" w:rsidRDefault="001F201C" w:rsidP="00ED5AF1">
      <w:pPr>
        <w:ind w:right="186"/>
        <w:jc w:val="center"/>
        <w:rPr>
          <w:b/>
        </w:rPr>
      </w:pPr>
      <w:r w:rsidRPr="001F201C">
        <w:rPr>
          <w:b/>
        </w:rPr>
        <w:t xml:space="preserve">„Grozījumi Rēzeknes novada pašvaldības 2009.gada 3.decembra saistošajos </w:t>
      </w:r>
    </w:p>
    <w:p w:rsidR="001F201C" w:rsidRPr="001F201C" w:rsidRDefault="001F201C" w:rsidP="00ED5AF1">
      <w:pPr>
        <w:ind w:right="186"/>
        <w:jc w:val="center"/>
      </w:pPr>
      <w:r w:rsidRPr="001F201C">
        <w:rPr>
          <w:b/>
        </w:rPr>
        <w:t>noteikumos Nr.11</w:t>
      </w:r>
      <w:r w:rsidRPr="001F201C">
        <w:t xml:space="preserve"> </w:t>
      </w:r>
      <w:r w:rsidRPr="001F201C">
        <w:rPr>
          <w:b/>
        </w:rPr>
        <w:t>„Par Rēzeknes novada pašvaldības nodevām</w:t>
      </w:r>
      <w:r w:rsidRPr="001F201C">
        <w:rPr>
          <w:b/>
          <w:bCs/>
          <w:caps/>
        </w:rPr>
        <w:t>”</w:t>
      </w:r>
      <w:r w:rsidRPr="001F201C">
        <w:rPr>
          <w:b/>
        </w:rPr>
        <w:t>”</w:t>
      </w:r>
    </w:p>
    <w:p w:rsidR="00A52295" w:rsidRPr="00F54910" w:rsidRDefault="00A52295" w:rsidP="00A52295">
      <w:pPr>
        <w:jc w:val="center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67"/>
        <w:gridCol w:w="7147"/>
      </w:tblGrid>
      <w:tr w:rsidR="00A52295" w:rsidRPr="00A52295" w:rsidTr="0096280B">
        <w:trPr>
          <w:cantSplit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5" w:rsidRPr="00A52295" w:rsidRDefault="00A52295" w:rsidP="00A52295">
            <w:pPr>
              <w:spacing w:line="276" w:lineRule="auto"/>
              <w:jc w:val="center"/>
              <w:rPr>
                <w:b/>
                <w:sz w:val="22"/>
              </w:rPr>
            </w:pPr>
            <w:r w:rsidRPr="00A52295">
              <w:rPr>
                <w:b/>
                <w:sz w:val="22"/>
              </w:rPr>
              <w:t>Paskaidrojuma raksta sadaļas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95" w:rsidRPr="00A52295" w:rsidRDefault="00A52295" w:rsidP="00A52295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A52295">
              <w:rPr>
                <w:b/>
                <w:bCs/>
                <w:sz w:val="22"/>
                <w:lang w:eastAsia="en-US"/>
              </w:rPr>
              <w:t>Norādāmā informācija</w:t>
            </w:r>
          </w:p>
        </w:tc>
      </w:tr>
      <w:tr w:rsidR="00A52295" w:rsidRPr="00A52295" w:rsidTr="0096280B">
        <w:trPr>
          <w:cantSplit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5" w:rsidRPr="00A52295" w:rsidRDefault="00A52295" w:rsidP="003C308A">
            <w:pPr>
              <w:rPr>
                <w:bCs/>
                <w:sz w:val="22"/>
              </w:rPr>
            </w:pPr>
            <w:r w:rsidRPr="00A52295">
              <w:rPr>
                <w:bCs/>
                <w:sz w:val="22"/>
              </w:rPr>
              <w:t>1. Projekta nepieciešamības pamatojums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95" w:rsidRPr="00A52295" w:rsidRDefault="00A52295" w:rsidP="00A52295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A52295">
              <w:rPr>
                <w:sz w:val="22"/>
                <w:szCs w:val="22"/>
              </w:rPr>
              <w:t xml:space="preserve">Šobrīd Rēzeknes novada pašvaldības nodevu veidus un to samaksas kārtību nosaka </w:t>
            </w:r>
            <w:r w:rsidRPr="00A52295">
              <w:rPr>
                <w:bCs/>
                <w:sz w:val="22"/>
                <w:szCs w:val="22"/>
              </w:rPr>
              <w:t>Rēzeknes novada pašvaldības 2009.gada 3.decembra saistošie noteikumi Nr.11 „Par Rēzeknes novada pašvaldības nodevām”, turpmāk - Saistošie noteikumi Nr.11, kuri ir spēkā no 2010.gada 23.februāra (publicēti Rēzeknes novada pašvaldības bezmaksas izdevumā „Rēzeknes Novada Ziņas” Nr.1(01) 2013.gada 22.februārī)</w:t>
            </w:r>
            <w:r w:rsidRPr="00A52295">
              <w:rPr>
                <w:sz w:val="22"/>
                <w:szCs w:val="22"/>
              </w:rPr>
              <w:t>.</w:t>
            </w:r>
          </w:p>
          <w:p w:rsidR="00A52295" w:rsidRPr="00A52295" w:rsidRDefault="00A52295" w:rsidP="00A52295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A52295">
              <w:rPr>
                <w:bCs/>
                <w:sz w:val="22"/>
                <w:szCs w:val="22"/>
              </w:rPr>
              <w:t xml:space="preserve">Saistošo noteikumu Nr.11 </w:t>
            </w:r>
            <w:proofErr w:type="spellStart"/>
            <w:r w:rsidRPr="00A52295">
              <w:rPr>
                <w:bCs/>
                <w:sz w:val="22"/>
                <w:szCs w:val="22"/>
              </w:rPr>
              <w:t>V</w:t>
            </w:r>
            <w:r w:rsidR="003C308A">
              <w:rPr>
                <w:bCs/>
                <w:sz w:val="22"/>
                <w:szCs w:val="22"/>
              </w:rPr>
              <w:t>.</w:t>
            </w:r>
            <w:r w:rsidRPr="00A52295">
              <w:rPr>
                <w:bCs/>
                <w:sz w:val="22"/>
                <w:szCs w:val="22"/>
              </w:rPr>
              <w:t>nodaļa</w:t>
            </w:r>
            <w:proofErr w:type="spellEnd"/>
            <w:r w:rsidRPr="00A52295">
              <w:rPr>
                <w:bCs/>
                <w:sz w:val="22"/>
                <w:szCs w:val="22"/>
              </w:rPr>
              <w:t xml:space="preserve"> reglamentē pašvaldības nodevas par būvatļaujas saņemšanu</w:t>
            </w:r>
            <w:r w:rsidRPr="00A52295">
              <w:rPr>
                <w:bCs/>
                <w:color w:val="000000"/>
                <w:sz w:val="22"/>
                <w:szCs w:val="22"/>
              </w:rPr>
              <w:t xml:space="preserve">. </w:t>
            </w:r>
          </w:p>
          <w:p w:rsidR="00A52295" w:rsidRPr="00A52295" w:rsidRDefault="00A52295" w:rsidP="00A52295">
            <w:pPr>
              <w:ind w:firstLine="377"/>
              <w:jc w:val="both"/>
              <w:rPr>
                <w:sz w:val="22"/>
                <w:szCs w:val="22"/>
              </w:rPr>
            </w:pPr>
            <w:r w:rsidRPr="00A52295">
              <w:rPr>
                <w:color w:val="000000"/>
                <w:sz w:val="22"/>
                <w:szCs w:val="22"/>
              </w:rPr>
              <w:t xml:space="preserve">Ņemot vērā būtiskus būvniecību regulējošo normatīvo aktu grozījumus, nepieciešams </w:t>
            </w:r>
            <w:r w:rsidRPr="00A52295">
              <w:rPr>
                <w:sz w:val="22"/>
                <w:szCs w:val="22"/>
              </w:rPr>
              <w:t xml:space="preserve">veikt grozījumus </w:t>
            </w:r>
            <w:r w:rsidRPr="00A52295">
              <w:rPr>
                <w:bCs/>
                <w:sz w:val="22"/>
                <w:szCs w:val="22"/>
              </w:rPr>
              <w:t>Saistošajos noteikumos Nr.11, izdodot jaunus Saistošos noteikumus</w:t>
            </w:r>
            <w:r w:rsidRPr="00A52295">
              <w:rPr>
                <w:sz w:val="22"/>
                <w:szCs w:val="22"/>
              </w:rPr>
              <w:t xml:space="preserve">. </w:t>
            </w:r>
          </w:p>
        </w:tc>
      </w:tr>
      <w:tr w:rsidR="00A52295" w:rsidRPr="00A52295" w:rsidTr="0096280B">
        <w:trPr>
          <w:cantSplit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5" w:rsidRPr="00A52295" w:rsidRDefault="00A52295" w:rsidP="003C308A">
            <w:pPr>
              <w:rPr>
                <w:bCs/>
                <w:sz w:val="22"/>
              </w:rPr>
            </w:pPr>
            <w:r w:rsidRPr="00A52295">
              <w:rPr>
                <w:bCs/>
                <w:sz w:val="22"/>
              </w:rPr>
              <w:t>2. Īss projekta satura izklāsts</w:t>
            </w:r>
          </w:p>
          <w:p w:rsidR="00A52295" w:rsidRPr="00A52295" w:rsidRDefault="00A52295" w:rsidP="003C308A">
            <w:pPr>
              <w:rPr>
                <w:bCs/>
                <w:sz w:val="22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95" w:rsidRPr="00A52295" w:rsidRDefault="00A52295" w:rsidP="00A52295">
            <w:pPr>
              <w:ind w:firstLine="377"/>
              <w:jc w:val="both"/>
              <w:rPr>
                <w:sz w:val="22"/>
                <w:szCs w:val="22"/>
              </w:rPr>
            </w:pPr>
            <w:r w:rsidRPr="00A52295">
              <w:rPr>
                <w:bCs/>
                <w:sz w:val="22"/>
                <w:szCs w:val="22"/>
              </w:rPr>
              <w:t xml:space="preserve">Rēzeknes novada pašvaldības 2016.gada </w:t>
            </w:r>
            <w:r w:rsidR="00DD799C">
              <w:rPr>
                <w:bCs/>
                <w:sz w:val="22"/>
                <w:szCs w:val="22"/>
              </w:rPr>
              <w:t>3.marta</w:t>
            </w:r>
            <w:r w:rsidRPr="00A52295">
              <w:rPr>
                <w:bCs/>
                <w:sz w:val="22"/>
                <w:szCs w:val="22"/>
              </w:rPr>
              <w:t xml:space="preserve"> saistošo noteikumu Nr.</w:t>
            </w:r>
            <w:r w:rsidR="00DD799C">
              <w:rPr>
                <w:bCs/>
                <w:sz w:val="22"/>
                <w:szCs w:val="22"/>
              </w:rPr>
              <w:t>66 „Grozījumi</w:t>
            </w:r>
            <w:r w:rsidRPr="00A52295">
              <w:rPr>
                <w:bCs/>
                <w:sz w:val="22"/>
                <w:szCs w:val="22"/>
              </w:rPr>
              <w:t xml:space="preserve"> Rēzeknes novada pašvaldības 2009.gada 3.decembra saistošajos noteikumos Nr.11 „Par Rēzeknes novada pašvaldības nodevām”” projekts, turpmāk - Saistošo noteikumu projekts, izdots saskaņā</w:t>
            </w:r>
            <w:r w:rsidRPr="00A52295">
              <w:rPr>
                <w:sz w:val="22"/>
                <w:szCs w:val="22"/>
              </w:rPr>
              <w:t xml:space="preserve"> ar likuma „Par pašvaldībām” 21.panta pirmās daļas 15.punktu, likuma "Par nodokļiem un nodevām” 12.panta pirmās daļas 10.punktu.</w:t>
            </w:r>
          </w:p>
          <w:p w:rsidR="00A52295" w:rsidRPr="00A52295" w:rsidRDefault="00A52295" w:rsidP="00A52295">
            <w:pPr>
              <w:ind w:firstLine="360"/>
              <w:jc w:val="both"/>
              <w:rPr>
                <w:sz w:val="22"/>
                <w:szCs w:val="22"/>
              </w:rPr>
            </w:pPr>
            <w:r w:rsidRPr="00A52295">
              <w:rPr>
                <w:sz w:val="22"/>
                <w:szCs w:val="22"/>
              </w:rPr>
              <w:t>Saistošo noteikumu projekta izdošanas mērķis – izdarīt grozījumu spēkā esošajos Saistošajos noteikumos Nr.11.</w:t>
            </w:r>
          </w:p>
          <w:p w:rsidR="00A52295" w:rsidRPr="00A52295" w:rsidRDefault="00A52295" w:rsidP="003C308A">
            <w:pPr>
              <w:ind w:firstLine="360"/>
              <w:jc w:val="both"/>
              <w:rPr>
                <w:sz w:val="22"/>
                <w:lang w:eastAsia="en-US"/>
              </w:rPr>
            </w:pPr>
            <w:r w:rsidRPr="00A52295">
              <w:rPr>
                <w:sz w:val="22"/>
                <w:lang w:eastAsia="en-US"/>
              </w:rPr>
              <w:t xml:space="preserve">Saistošo noteikumu projekts paredz Saistošo noteikumu Nr.11 </w:t>
            </w:r>
            <w:proofErr w:type="spellStart"/>
            <w:r w:rsidRPr="00A52295">
              <w:rPr>
                <w:sz w:val="22"/>
                <w:lang w:eastAsia="en-US"/>
              </w:rPr>
              <w:t>V</w:t>
            </w:r>
            <w:r w:rsidR="003C308A">
              <w:rPr>
                <w:sz w:val="22"/>
                <w:lang w:eastAsia="en-US"/>
              </w:rPr>
              <w:t>.</w:t>
            </w:r>
            <w:r w:rsidRPr="00A52295">
              <w:rPr>
                <w:sz w:val="22"/>
                <w:lang w:eastAsia="en-US"/>
              </w:rPr>
              <w:t>nodaļu</w:t>
            </w:r>
            <w:proofErr w:type="spellEnd"/>
            <w:r w:rsidRPr="00A52295">
              <w:rPr>
                <w:sz w:val="22"/>
                <w:lang w:eastAsia="en-US"/>
              </w:rPr>
              <w:t xml:space="preserve"> izteikt jaunā redakcijā.</w:t>
            </w:r>
          </w:p>
        </w:tc>
      </w:tr>
      <w:tr w:rsidR="00A52295" w:rsidRPr="00A52295" w:rsidTr="0096280B">
        <w:trPr>
          <w:cantSplit/>
          <w:trHeight w:val="888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5" w:rsidRPr="00A52295" w:rsidRDefault="00A52295" w:rsidP="003C308A">
            <w:pPr>
              <w:rPr>
                <w:bCs/>
                <w:sz w:val="22"/>
                <w:lang w:eastAsia="en-US"/>
              </w:rPr>
            </w:pPr>
            <w:r w:rsidRPr="00A52295">
              <w:rPr>
                <w:bCs/>
                <w:sz w:val="22"/>
                <w:lang w:eastAsia="en-US"/>
              </w:rPr>
              <w:t>3. Informācija par plānoto projekta ietekmi uz pašvaldības budžetu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CE" w:rsidRPr="00316D16" w:rsidRDefault="00A52295" w:rsidP="00232CCE">
            <w:pPr>
              <w:autoSpaceDE w:val="0"/>
              <w:autoSpaceDN w:val="0"/>
              <w:adjustRightInd w:val="0"/>
              <w:ind w:firstLine="377"/>
              <w:jc w:val="both"/>
              <w:rPr>
                <w:sz w:val="22"/>
                <w:szCs w:val="22"/>
              </w:rPr>
            </w:pPr>
            <w:r w:rsidRPr="00A52295">
              <w:rPr>
                <w:sz w:val="22"/>
                <w:szCs w:val="22"/>
              </w:rPr>
              <w:t xml:space="preserve">Saistošo noteikumu projekta </w:t>
            </w:r>
            <w:r w:rsidRPr="00A52295">
              <w:rPr>
                <w:rFonts w:ascii="TT126Co00" w:hAnsi="TT126Co00" w:cs="TT126Co00"/>
                <w:sz w:val="22"/>
                <w:szCs w:val="22"/>
              </w:rPr>
              <w:t>ī</w:t>
            </w:r>
            <w:r w:rsidRPr="00A52295">
              <w:rPr>
                <w:sz w:val="22"/>
                <w:szCs w:val="22"/>
              </w:rPr>
              <w:t>stenošana ietekm</w:t>
            </w:r>
            <w:r w:rsidRPr="00A52295">
              <w:rPr>
                <w:rFonts w:ascii="TT126Co00" w:hAnsi="TT126Co00" w:cs="TT126Co00"/>
                <w:sz w:val="22"/>
                <w:szCs w:val="22"/>
              </w:rPr>
              <w:t xml:space="preserve">ē </w:t>
            </w:r>
            <w:r w:rsidRPr="00A52295">
              <w:rPr>
                <w:sz w:val="22"/>
                <w:szCs w:val="22"/>
              </w:rPr>
              <w:t>pašvald</w:t>
            </w:r>
            <w:r w:rsidRPr="00A52295">
              <w:rPr>
                <w:rFonts w:ascii="TT126Co00" w:hAnsi="TT126Co00" w:cs="TT126Co00"/>
                <w:sz w:val="22"/>
                <w:szCs w:val="22"/>
              </w:rPr>
              <w:t>ī</w:t>
            </w:r>
            <w:r w:rsidRPr="00A52295">
              <w:rPr>
                <w:sz w:val="22"/>
                <w:szCs w:val="22"/>
              </w:rPr>
              <w:t>bas budžetu, bet ne būtiski un uz doto br</w:t>
            </w:r>
            <w:r w:rsidRPr="00A52295">
              <w:rPr>
                <w:rFonts w:ascii="TT126Co00" w:hAnsi="TT126Co00" w:cs="TT126Co00"/>
                <w:sz w:val="22"/>
                <w:szCs w:val="22"/>
              </w:rPr>
              <w:t>ī</w:t>
            </w:r>
            <w:r w:rsidRPr="00A52295">
              <w:rPr>
                <w:sz w:val="22"/>
                <w:szCs w:val="22"/>
              </w:rPr>
              <w:t>di nav iesp</w:t>
            </w:r>
            <w:r w:rsidRPr="00A52295">
              <w:rPr>
                <w:rFonts w:ascii="TT126Co00" w:hAnsi="TT126Co00" w:cs="TT126Co00"/>
                <w:sz w:val="22"/>
                <w:szCs w:val="22"/>
              </w:rPr>
              <w:t>ē</w:t>
            </w:r>
            <w:r w:rsidRPr="00A52295">
              <w:rPr>
                <w:sz w:val="22"/>
                <w:szCs w:val="22"/>
              </w:rPr>
              <w:t>jams veikt konkr</w:t>
            </w:r>
            <w:r w:rsidRPr="00A52295">
              <w:rPr>
                <w:rFonts w:ascii="TT126Co00" w:hAnsi="TT126Co00" w:cs="TT126Co00"/>
                <w:sz w:val="22"/>
                <w:szCs w:val="22"/>
              </w:rPr>
              <w:t>ē</w:t>
            </w:r>
            <w:r w:rsidRPr="00A52295">
              <w:rPr>
                <w:sz w:val="22"/>
                <w:szCs w:val="22"/>
              </w:rPr>
              <w:t>tus apr</w:t>
            </w:r>
            <w:r w:rsidRPr="00A52295">
              <w:rPr>
                <w:rFonts w:ascii="TT126Co00" w:hAnsi="TT126Co00" w:cs="TT126Co00"/>
                <w:sz w:val="22"/>
                <w:szCs w:val="22"/>
              </w:rPr>
              <w:t>ēķ</w:t>
            </w:r>
            <w:r w:rsidRPr="00A52295">
              <w:rPr>
                <w:sz w:val="22"/>
                <w:szCs w:val="22"/>
              </w:rPr>
              <w:t xml:space="preserve">inus. </w:t>
            </w:r>
            <w:r w:rsidR="00232CCE">
              <w:rPr>
                <w:sz w:val="22"/>
                <w:szCs w:val="22"/>
              </w:rPr>
              <w:t>Pieļaujot, ka</w:t>
            </w:r>
            <w:r w:rsidR="00232CCE" w:rsidRPr="00316D16">
              <w:rPr>
                <w:sz w:val="22"/>
                <w:szCs w:val="22"/>
              </w:rPr>
              <w:t xml:space="preserve"> nodev</w:t>
            </w:r>
            <w:r w:rsidR="00232CCE">
              <w:rPr>
                <w:sz w:val="22"/>
                <w:szCs w:val="22"/>
              </w:rPr>
              <w:t>as atvieglojums</w:t>
            </w:r>
            <w:r w:rsidR="00232CCE" w:rsidRPr="00316D16">
              <w:rPr>
                <w:sz w:val="22"/>
                <w:szCs w:val="22"/>
              </w:rPr>
              <w:t xml:space="preserve"> reliģiskajām organizācijām</w:t>
            </w:r>
            <w:r w:rsidR="00232CCE">
              <w:rPr>
                <w:sz w:val="22"/>
                <w:szCs w:val="22"/>
              </w:rPr>
              <w:t xml:space="preserve"> tiktu piemērots</w:t>
            </w:r>
            <w:r w:rsidR="00232CCE" w:rsidRPr="00316D16">
              <w:rPr>
                <w:sz w:val="22"/>
                <w:szCs w:val="22"/>
              </w:rPr>
              <w:t xml:space="preserve"> 2015.gadā (tika iesniegti pieci būvniecības iesniegumi), pašvaldības budžetā netiktu veikts ieskaitījums 125 </w:t>
            </w:r>
            <w:proofErr w:type="spellStart"/>
            <w:r w:rsidR="00232CCE" w:rsidRPr="00DD799C">
              <w:rPr>
                <w:i/>
                <w:sz w:val="22"/>
                <w:szCs w:val="22"/>
              </w:rPr>
              <w:t>euro</w:t>
            </w:r>
            <w:proofErr w:type="spellEnd"/>
            <w:r w:rsidR="00232CCE" w:rsidRPr="00DD799C">
              <w:rPr>
                <w:i/>
                <w:sz w:val="22"/>
                <w:szCs w:val="22"/>
              </w:rPr>
              <w:t xml:space="preserve"> </w:t>
            </w:r>
            <w:r w:rsidR="00232CCE" w:rsidRPr="00316D16">
              <w:rPr>
                <w:sz w:val="22"/>
                <w:szCs w:val="22"/>
              </w:rPr>
              <w:t>apmērā.</w:t>
            </w:r>
          </w:p>
          <w:p w:rsidR="00A52295" w:rsidRPr="00A52295" w:rsidRDefault="00A52295" w:rsidP="00A52295">
            <w:pPr>
              <w:ind w:firstLine="377"/>
              <w:jc w:val="both"/>
              <w:rPr>
                <w:color w:val="FF0000"/>
                <w:sz w:val="22"/>
              </w:rPr>
            </w:pPr>
            <w:r w:rsidRPr="00A52295">
              <w:rPr>
                <w:sz w:val="22"/>
              </w:rPr>
              <w:t>Lai nodrošinātu saistošo noteikumu projekta izpildi nav nepieciešams veidot jaunas institūcijas vai radīt jaunas darba vietas.</w:t>
            </w:r>
          </w:p>
        </w:tc>
      </w:tr>
      <w:tr w:rsidR="00A52295" w:rsidRPr="00A52295" w:rsidTr="0096280B">
        <w:trPr>
          <w:cantSplit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5" w:rsidRPr="00A52295" w:rsidRDefault="00A52295" w:rsidP="003C308A">
            <w:pPr>
              <w:rPr>
                <w:bCs/>
                <w:sz w:val="22"/>
              </w:rPr>
            </w:pPr>
            <w:r w:rsidRPr="00A52295">
              <w:rPr>
                <w:bCs/>
                <w:sz w:val="22"/>
              </w:rPr>
              <w:t>4. Informācija par plānoto projekta ietekmi uz uzņēmējdarbības vidi pašvaldības teritorijā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95" w:rsidRPr="00A52295" w:rsidRDefault="00A52295" w:rsidP="00A52295">
            <w:pPr>
              <w:jc w:val="both"/>
              <w:rPr>
                <w:sz w:val="22"/>
                <w:lang w:eastAsia="en-US"/>
              </w:rPr>
            </w:pPr>
            <w:r w:rsidRPr="00A52295">
              <w:rPr>
                <w:sz w:val="22"/>
                <w:lang w:eastAsia="en-US"/>
              </w:rPr>
              <w:t xml:space="preserve">      Uzņēmējdarbības vidi pašvaldības teritorijā Saistošo noteikumu projekts neskars.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52295" w:rsidRPr="00A52295" w:rsidTr="0096280B">
        <w:trPr>
          <w:cantSplit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5" w:rsidRPr="00A52295" w:rsidRDefault="00A52295" w:rsidP="003C308A">
            <w:pPr>
              <w:rPr>
                <w:bCs/>
                <w:sz w:val="22"/>
              </w:rPr>
            </w:pPr>
            <w:r w:rsidRPr="00A52295">
              <w:rPr>
                <w:bCs/>
                <w:sz w:val="22"/>
              </w:rPr>
              <w:t>5. Informācija par administratīvajām procedūrām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95" w:rsidRPr="00A52295" w:rsidRDefault="00A52295" w:rsidP="00A52295">
            <w:pPr>
              <w:ind w:firstLine="377"/>
              <w:jc w:val="both"/>
              <w:rPr>
                <w:sz w:val="22"/>
                <w:lang w:eastAsia="en-US"/>
              </w:rPr>
            </w:pPr>
            <w:r w:rsidRPr="00A52295">
              <w:rPr>
                <w:sz w:val="22"/>
                <w:lang w:eastAsia="en-US"/>
              </w:rPr>
              <w:t>Personas Saistošo noteikumu projekta piemērošanas jautājumos var griezties Rēzeknes novada pašvaldības būvvaldē.</w:t>
            </w:r>
          </w:p>
          <w:p w:rsidR="00A52295" w:rsidRPr="00A52295" w:rsidRDefault="00A52295" w:rsidP="00A52295">
            <w:pPr>
              <w:ind w:firstLine="377"/>
              <w:jc w:val="both"/>
              <w:rPr>
                <w:sz w:val="22"/>
                <w:lang w:eastAsia="en-US"/>
              </w:rPr>
            </w:pPr>
            <w:r w:rsidRPr="00A52295">
              <w:rPr>
                <w:sz w:val="22"/>
                <w:lang w:eastAsia="en-US"/>
              </w:rPr>
              <w:t>Saistošo noteikumu projekts neskar administratīvās procedūras un nemaina līdzšinējo kārtību, kas noteikta ar Saistošajiem noteikumiem Nr.11.</w:t>
            </w:r>
          </w:p>
        </w:tc>
      </w:tr>
      <w:tr w:rsidR="00A52295" w:rsidRPr="00A52295" w:rsidTr="0096280B">
        <w:trPr>
          <w:cantSplit/>
          <w:trHeight w:val="1232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5" w:rsidRPr="00A52295" w:rsidRDefault="00A52295" w:rsidP="003C308A">
            <w:pPr>
              <w:rPr>
                <w:bCs/>
                <w:sz w:val="22"/>
              </w:rPr>
            </w:pPr>
            <w:r w:rsidRPr="00A52295">
              <w:rPr>
                <w:bCs/>
                <w:sz w:val="22"/>
              </w:rPr>
              <w:lastRenderedPageBreak/>
              <w:t>6. Informācija par konsultācijām ar privātpersonām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95" w:rsidRPr="00A52295" w:rsidRDefault="00A52295" w:rsidP="00A52295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A52295">
              <w:rPr>
                <w:bCs/>
                <w:sz w:val="22"/>
                <w:szCs w:val="22"/>
              </w:rPr>
              <w:t>Sabiedrības līdzdalība Saistošo noteikumu projekta izstrādāšanā tika nodrošināta informējot iedzīvotājus ar Rēzeknes novada pašvaldības mājas lapas starpniecību.</w:t>
            </w:r>
          </w:p>
          <w:p w:rsidR="00A52295" w:rsidRPr="00A52295" w:rsidRDefault="00A52295" w:rsidP="00DD799C">
            <w:pPr>
              <w:ind w:firstLine="377"/>
              <w:jc w:val="both"/>
              <w:rPr>
                <w:sz w:val="22"/>
                <w:szCs w:val="22"/>
                <w:lang w:eastAsia="en-US"/>
              </w:rPr>
            </w:pPr>
            <w:r w:rsidRPr="00A52295">
              <w:rPr>
                <w:bCs/>
                <w:sz w:val="22"/>
                <w:szCs w:val="22"/>
              </w:rPr>
              <w:t xml:space="preserve">Viedokļi par Saistošo noteikumu projektu </w:t>
            </w:r>
            <w:r w:rsidR="00DD799C">
              <w:rPr>
                <w:bCs/>
                <w:sz w:val="22"/>
                <w:szCs w:val="22"/>
              </w:rPr>
              <w:t>nav saņemti</w:t>
            </w:r>
            <w:r w:rsidRPr="00A52295">
              <w:rPr>
                <w:bCs/>
                <w:sz w:val="22"/>
                <w:szCs w:val="22"/>
              </w:rPr>
              <w:t>.</w:t>
            </w:r>
          </w:p>
        </w:tc>
      </w:tr>
    </w:tbl>
    <w:p w:rsidR="00DB72BD" w:rsidRDefault="0096280B"/>
    <w:p w:rsidR="00DD799C" w:rsidRDefault="00DD799C" w:rsidP="00A52295"/>
    <w:p w:rsidR="00A52295" w:rsidRDefault="00A52295" w:rsidP="00A52295">
      <w:r>
        <w:t>Domes priekšsēdētājs</w:t>
      </w:r>
      <w:r>
        <w:tab/>
        <w:t xml:space="preserve"> </w:t>
      </w:r>
      <w:r>
        <w:tab/>
      </w:r>
      <w:r>
        <w:tab/>
        <w:t xml:space="preserve">                                                               </w:t>
      </w:r>
      <w:proofErr w:type="spellStart"/>
      <w:r>
        <w:t>M.Švarcs</w:t>
      </w:r>
      <w:proofErr w:type="spellEnd"/>
    </w:p>
    <w:sectPr w:rsidR="00A52295" w:rsidSect="009628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T126C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3A"/>
    <w:rsid w:val="001F201C"/>
    <w:rsid w:val="00232CCE"/>
    <w:rsid w:val="00260504"/>
    <w:rsid w:val="003C308A"/>
    <w:rsid w:val="004C0E3A"/>
    <w:rsid w:val="008D24DB"/>
    <w:rsid w:val="0096280B"/>
    <w:rsid w:val="00A52295"/>
    <w:rsid w:val="00DD799C"/>
    <w:rsid w:val="00ED5AF1"/>
    <w:rsid w:val="00F04E03"/>
    <w:rsid w:val="00F3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738FEF9-417A-4503-924D-8DBB782C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52295"/>
    <w:pPr>
      <w:widowControl w:val="0"/>
      <w:suppressLineNumbers/>
      <w:suppressAutoHyphens/>
    </w:pPr>
    <w:rPr>
      <w:rFonts w:eastAsia="Lucida Sans Unicode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zeknesnovads.lv" TargetMode="External"/><Relationship Id="rId5" Type="http://schemas.openxmlformats.org/officeDocument/2006/relationships/hyperlink" Target="mailto:info@rezeknesnovads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3172</Words>
  <Characters>1809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Ilona Turka</cp:lastModifiedBy>
  <cp:revision>3</cp:revision>
  <cp:lastPrinted>2016-03-03T09:16:00Z</cp:lastPrinted>
  <dcterms:created xsi:type="dcterms:W3CDTF">2016-03-03T09:12:00Z</dcterms:created>
  <dcterms:modified xsi:type="dcterms:W3CDTF">2016-03-03T09:17:00Z</dcterms:modified>
</cp:coreProperties>
</file>