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53" w:rsidRDefault="000775B6" w:rsidP="000775B6">
      <w:pPr>
        <w:ind w:right="46"/>
        <w:jc w:val="right"/>
        <w:rPr>
          <w:b/>
          <w:bCs/>
        </w:rPr>
      </w:pPr>
      <w:r>
        <w:rPr>
          <w:b/>
          <w:bCs/>
        </w:rPr>
        <w:t>PROJEKTS</w:t>
      </w:r>
    </w:p>
    <w:p w:rsidR="000775B6" w:rsidRDefault="000775B6" w:rsidP="000775B6">
      <w:pPr>
        <w:ind w:right="46"/>
        <w:jc w:val="right"/>
        <w:rPr>
          <w:b/>
          <w:bCs/>
        </w:rPr>
      </w:pPr>
    </w:p>
    <w:p w:rsidR="00111A79" w:rsidRDefault="00111A79" w:rsidP="00292E96">
      <w:pPr>
        <w:ind w:right="46"/>
        <w:jc w:val="center"/>
        <w:rPr>
          <w:b/>
          <w:bCs/>
        </w:rPr>
      </w:pPr>
      <w:r>
        <w:rPr>
          <w:b/>
          <w:bCs/>
        </w:rPr>
        <w:t>Paskaidrojuma raksts</w:t>
      </w:r>
    </w:p>
    <w:p w:rsidR="00E0498A" w:rsidRPr="00F54910" w:rsidRDefault="00E0498A" w:rsidP="00292E96">
      <w:pPr>
        <w:ind w:right="46"/>
        <w:jc w:val="center"/>
        <w:rPr>
          <w:b/>
        </w:rPr>
      </w:pPr>
      <w:r>
        <w:rPr>
          <w:b/>
        </w:rPr>
        <w:t xml:space="preserve">Rēzeknes novada pašvaldības </w:t>
      </w:r>
      <w:r w:rsidR="00111A79">
        <w:rPr>
          <w:b/>
        </w:rPr>
        <w:t>saistošajiem noteikumiem</w:t>
      </w:r>
      <w:r w:rsidRPr="00F54910">
        <w:rPr>
          <w:b/>
        </w:rPr>
        <w:t xml:space="preserve"> </w:t>
      </w:r>
    </w:p>
    <w:p w:rsidR="00E0498A" w:rsidRPr="00F54910" w:rsidRDefault="00E0498A" w:rsidP="00292E96">
      <w:pPr>
        <w:ind w:right="46"/>
        <w:jc w:val="center"/>
        <w:rPr>
          <w:b/>
        </w:rPr>
      </w:pPr>
      <w:r w:rsidRPr="00F54910">
        <w:rPr>
          <w:b/>
        </w:rPr>
        <w:t>„</w:t>
      </w:r>
      <w:r w:rsidR="005308A8">
        <w:rPr>
          <w:b/>
        </w:rPr>
        <w:t>Grozījum</w:t>
      </w:r>
      <w:r w:rsidR="001A685E">
        <w:rPr>
          <w:b/>
        </w:rPr>
        <w:t>i</w:t>
      </w:r>
      <w:r w:rsidR="005308A8">
        <w:rPr>
          <w:b/>
        </w:rPr>
        <w:t xml:space="preserve"> </w:t>
      </w:r>
      <w:r w:rsidRPr="00F54910">
        <w:rPr>
          <w:b/>
        </w:rPr>
        <w:t xml:space="preserve">Rēzeknes novada pašvaldības </w:t>
      </w:r>
      <w:r w:rsidR="000171D4">
        <w:rPr>
          <w:b/>
          <w:bCs/>
        </w:rPr>
        <w:t>2014</w:t>
      </w:r>
      <w:r w:rsidRPr="00F54910">
        <w:rPr>
          <w:b/>
          <w:bCs/>
        </w:rPr>
        <w:t xml:space="preserve">.gada </w:t>
      </w:r>
      <w:r w:rsidR="000171D4">
        <w:rPr>
          <w:b/>
          <w:bCs/>
        </w:rPr>
        <w:t>16.oktobra</w:t>
      </w:r>
      <w:r w:rsidRPr="00F54910">
        <w:rPr>
          <w:b/>
          <w:bCs/>
        </w:rPr>
        <w:t xml:space="preserve"> </w:t>
      </w:r>
      <w:r w:rsidRPr="00F54910">
        <w:rPr>
          <w:b/>
        </w:rPr>
        <w:t>saistošajo</w:t>
      </w:r>
      <w:r w:rsidR="000171D4">
        <w:rPr>
          <w:b/>
        </w:rPr>
        <w:t>s noteikumos Nr.45</w:t>
      </w:r>
      <w:r w:rsidRPr="00F54910">
        <w:rPr>
          <w:b/>
        </w:rPr>
        <w:t xml:space="preserve"> „</w:t>
      </w:r>
      <w:r w:rsidR="000171D4">
        <w:rPr>
          <w:b/>
          <w:bCs/>
        </w:rPr>
        <w:t>Par nekustamā īpašuma nodokli Rēzeknes novadā</w:t>
      </w:r>
      <w:r w:rsidRPr="00F54910">
        <w:rPr>
          <w:b/>
        </w:rPr>
        <w:t>””</w:t>
      </w:r>
    </w:p>
    <w:p w:rsidR="00E0498A" w:rsidRPr="00BE251B" w:rsidRDefault="00E0498A" w:rsidP="00E0498A">
      <w:pPr>
        <w:rPr>
          <w:b/>
          <w:bCs/>
          <w:sz w:val="16"/>
          <w:szCs w:val="16"/>
        </w:rPr>
      </w:pP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2"/>
        <w:gridCol w:w="6804"/>
      </w:tblGrid>
      <w:tr w:rsidR="00E0498A"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kr"/>
              <w:spacing w:before="120" w:after="120"/>
              <w:jc w:val="center"/>
              <w:rPr>
                <w:b/>
                <w:sz w:val="22"/>
                <w:szCs w:val="22"/>
              </w:rPr>
            </w:pPr>
            <w:r w:rsidRPr="00A42BD4">
              <w:rPr>
                <w:b/>
                <w:sz w:val="22"/>
                <w:szCs w:val="22"/>
              </w:rPr>
              <w:t>Paskaidrojuma raksta sadaļas</w:t>
            </w: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A42BD4" w:rsidRDefault="00E0498A" w:rsidP="00EC2CAA">
            <w:pPr>
              <w:pStyle w:val="naisnod"/>
              <w:spacing w:before="0" w:after="0"/>
              <w:rPr>
                <w:sz w:val="22"/>
                <w:szCs w:val="22"/>
                <w:lang w:eastAsia="en-US"/>
              </w:rPr>
            </w:pPr>
            <w:r w:rsidRPr="00A42BD4">
              <w:rPr>
                <w:sz w:val="22"/>
                <w:szCs w:val="22"/>
                <w:lang w:eastAsia="en-US"/>
              </w:rPr>
              <w:t>Norādāmā informācija</w:t>
            </w:r>
          </w:p>
        </w:tc>
      </w:tr>
      <w:tr w:rsidR="00E0498A"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kr"/>
              <w:spacing w:before="120" w:after="120"/>
              <w:rPr>
                <w:bCs/>
                <w:sz w:val="22"/>
                <w:szCs w:val="22"/>
              </w:rPr>
            </w:pPr>
            <w:r w:rsidRPr="00A42BD4">
              <w:rPr>
                <w:bCs/>
                <w:sz w:val="22"/>
                <w:szCs w:val="22"/>
              </w:rPr>
              <w:t>1. Projekta nepieciešamības pamatojums</w:t>
            </w:r>
          </w:p>
        </w:tc>
        <w:tc>
          <w:tcPr>
            <w:tcW w:w="6804" w:type="dxa"/>
            <w:tcBorders>
              <w:top w:val="single" w:sz="4" w:space="0" w:color="auto"/>
              <w:left w:val="single" w:sz="4" w:space="0" w:color="auto"/>
              <w:bottom w:val="single" w:sz="4" w:space="0" w:color="auto"/>
              <w:right w:val="single" w:sz="4" w:space="0" w:color="auto"/>
            </w:tcBorders>
            <w:vAlign w:val="center"/>
          </w:tcPr>
          <w:p w:rsidR="000171D4" w:rsidRPr="00803AC8" w:rsidRDefault="000171D4" w:rsidP="00651B23">
            <w:pPr>
              <w:ind w:firstLine="377"/>
              <w:jc w:val="both"/>
              <w:rPr>
                <w:sz w:val="22"/>
                <w:szCs w:val="22"/>
              </w:rPr>
            </w:pPr>
            <w:r w:rsidRPr="00803AC8">
              <w:rPr>
                <w:sz w:val="22"/>
                <w:szCs w:val="22"/>
              </w:rPr>
              <w:t xml:space="preserve">Šobrīd Rēzeknes novada pašvaldībā nekustamā īpašuma nodokļa administrēšana </w:t>
            </w:r>
            <w:r w:rsidR="00FB48BC" w:rsidRPr="00803AC8">
              <w:rPr>
                <w:sz w:val="22"/>
                <w:szCs w:val="22"/>
              </w:rPr>
              <w:t>notiek atbilstoši likumam “Par nekustamā īpašuma nodokli” un Rēzeknes novada pašvaldības 2014.gada 16.oktobra saistošiem noteikumiem Nr.45 “Par nekustamā īpašuma nodokli Rēzeknes novadā”</w:t>
            </w:r>
            <w:r w:rsidR="008B272F" w:rsidRPr="00803AC8">
              <w:rPr>
                <w:sz w:val="22"/>
                <w:szCs w:val="22"/>
              </w:rPr>
              <w:t xml:space="preserve">, turpmāk </w:t>
            </w:r>
            <w:r w:rsidR="0068180E" w:rsidRPr="00803AC8">
              <w:rPr>
                <w:sz w:val="22"/>
                <w:szCs w:val="22"/>
              </w:rPr>
              <w:t xml:space="preserve">- </w:t>
            </w:r>
            <w:r w:rsidR="008B272F" w:rsidRPr="00803AC8">
              <w:rPr>
                <w:sz w:val="22"/>
                <w:szCs w:val="22"/>
              </w:rPr>
              <w:t xml:space="preserve">Saistošie noteikumi Nr.45, kuri spēkā no </w:t>
            </w:r>
            <w:r w:rsidR="00CD669C" w:rsidRPr="00803AC8">
              <w:rPr>
                <w:sz w:val="22"/>
                <w:szCs w:val="22"/>
              </w:rPr>
              <w:t>2014.gada 30.oktobra (p</w:t>
            </w:r>
            <w:r w:rsidR="00306B06" w:rsidRPr="00803AC8">
              <w:rPr>
                <w:sz w:val="22"/>
                <w:szCs w:val="22"/>
              </w:rPr>
              <w:t>ublicēti</w:t>
            </w:r>
            <w:r w:rsidR="00CD669C" w:rsidRPr="00803AC8">
              <w:rPr>
                <w:sz w:val="22"/>
                <w:szCs w:val="22"/>
              </w:rPr>
              <w:t xml:space="preserve"> </w:t>
            </w:r>
            <w:r w:rsidR="0068180E" w:rsidRPr="00803AC8">
              <w:rPr>
                <w:bCs/>
                <w:sz w:val="22"/>
                <w:szCs w:val="22"/>
              </w:rPr>
              <w:t xml:space="preserve">laikrakstā „Rēzeknes Vēstis” </w:t>
            </w:r>
            <w:r w:rsidR="00CD669C" w:rsidRPr="00803AC8">
              <w:rPr>
                <w:sz w:val="22"/>
                <w:szCs w:val="22"/>
              </w:rPr>
              <w:t xml:space="preserve">30.10.2014., </w:t>
            </w:r>
            <w:r w:rsidR="0068180E" w:rsidRPr="00803AC8">
              <w:rPr>
                <w:sz w:val="22"/>
                <w:szCs w:val="22"/>
              </w:rPr>
              <w:t>Nr.131 (11215)</w:t>
            </w:r>
            <w:r w:rsidR="00CD669C" w:rsidRPr="00803AC8">
              <w:rPr>
                <w:sz w:val="22"/>
                <w:szCs w:val="22"/>
              </w:rPr>
              <w:t>).</w:t>
            </w:r>
          </w:p>
          <w:p w:rsidR="007F7788" w:rsidRPr="00803AC8" w:rsidRDefault="00960914" w:rsidP="007F7788">
            <w:pPr>
              <w:ind w:firstLine="377"/>
              <w:jc w:val="both"/>
              <w:rPr>
                <w:sz w:val="22"/>
                <w:szCs w:val="22"/>
              </w:rPr>
            </w:pPr>
            <w:r w:rsidRPr="00803AC8">
              <w:rPr>
                <w:sz w:val="22"/>
                <w:szCs w:val="22"/>
              </w:rPr>
              <w:t>S</w:t>
            </w:r>
            <w:r w:rsidR="00CD669C" w:rsidRPr="00803AC8">
              <w:rPr>
                <w:sz w:val="22"/>
                <w:szCs w:val="22"/>
              </w:rPr>
              <w:t>askaņā ar likuma “Par nekustamā īpašuma nodokli” 3.panta pirmo daļu, pašvaldībai ir tiesības noteikt nekustamā īpašuma nodokļa likmi.</w:t>
            </w:r>
            <w:r w:rsidR="007F7788" w:rsidRPr="00803AC8">
              <w:rPr>
                <w:sz w:val="22"/>
                <w:szCs w:val="22"/>
              </w:rPr>
              <w:t xml:space="preserve"> </w:t>
            </w:r>
          </w:p>
          <w:p w:rsidR="00960914" w:rsidRPr="00F739BB" w:rsidRDefault="00167C78" w:rsidP="00393836">
            <w:pPr>
              <w:ind w:firstLine="377"/>
              <w:jc w:val="both"/>
              <w:rPr>
                <w:sz w:val="22"/>
                <w:szCs w:val="22"/>
              </w:rPr>
            </w:pPr>
            <w:r w:rsidRPr="00803AC8">
              <w:rPr>
                <w:color w:val="000000" w:themeColor="text1"/>
                <w:sz w:val="22"/>
                <w:szCs w:val="22"/>
              </w:rPr>
              <w:t>Grozījumus nepieciešams veikt n</w:t>
            </w:r>
            <w:r w:rsidR="00CD669C" w:rsidRPr="00803AC8">
              <w:rPr>
                <w:color w:val="000000" w:themeColor="text1"/>
                <w:sz w:val="22"/>
                <w:szCs w:val="22"/>
              </w:rPr>
              <w:t xml:space="preserve">ekustamā īpašuma nodokļa likmes </w:t>
            </w:r>
            <w:r w:rsidR="00CD669C" w:rsidRPr="00F739BB">
              <w:rPr>
                <w:sz w:val="22"/>
                <w:szCs w:val="22"/>
              </w:rPr>
              <w:t>noteikšanai</w:t>
            </w:r>
            <w:r w:rsidR="00960914" w:rsidRPr="00F739BB">
              <w:rPr>
                <w:sz w:val="22"/>
                <w:szCs w:val="22"/>
              </w:rPr>
              <w:t xml:space="preserve"> Dārza mājām ar kopējo platību līdz 40 m</w:t>
            </w:r>
            <w:r w:rsidR="00960914" w:rsidRPr="00F739BB">
              <w:rPr>
                <w:sz w:val="22"/>
                <w:szCs w:val="22"/>
                <w:vertAlign w:val="superscript"/>
              </w:rPr>
              <w:t xml:space="preserve">2 </w:t>
            </w:r>
            <w:r w:rsidR="00960914" w:rsidRPr="00F739BB">
              <w:rPr>
                <w:sz w:val="22"/>
                <w:szCs w:val="22"/>
              </w:rPr>
              <w:t>(ieskaitot), ekspluatācijā nenodotām ēkām (jaunbūves), kuru būvniecībā nav pārsniegts normatīvajos aktos noteiktais kopējais būvdarbu veikšanas ilgums</w:t>
            </w:r>
            <w:r w:rsidR="008F71C6" w:rsidRPr="00F739BB">
              <w:rPr>
                <w:sz w:val="22"/>
                <w:szCs w:val="22"/>
              </w:rPr>
              <w:t>, kurā</w:t>
            </w:r>
            <w:r w:rsidRPr="00F739BB">
              <w:rPr>
                <w:sz w:val="22"/>
                <w:szCs w:val="22"/>
              </w:rPr>
              <w:t>s nevienai personai nav deklarēta dzīvesvieta</w:t>
            </w:r>
            <w:r w:rsidR="008F71C6" w:rsidRPr="00F739BB">
              <w:rPr>
                <w:sz w:val="22"/>
                <w:szCs w:val="22"/>
              </w:rPr>
              <w:t xml:space="preserve">. </w:t>
            </w:r>
          </w:p>
          <w:p w:rsidR="00393836" w:rsidRPr="00803AC8" w:rsidRDefault="005D6D3C" w:rsidP="00960914">
            <w:pPr>
              <w:ind w:firstLine="487"/>
              <w:jc w:val="both"/>
              <w:rPr>
                <w:bCs/>
                <w:color w:val="000000" w:themeColor="text1"/>
                <w:sz w:val="22"/>
                <w:szCs w:val="22"/>
              </w:rPr>
            </w:pPr>
            <w:r w:rsidRPr="00F739BB">
              <w:rPr>
                <w:sz w:val="22"/>
                <w:szCs w:val="22"/>
              </w:rPr>
              <w:t>Grozījumu mērķis</w:t>
            </w:r>
            <w:r w:rsidR="00B63F41" w:rsidRPr="00F739BB">
              <w:rPr>
                <w:sz w:val="22"/>
                <w:szCs w:val="22"/>
              </w:rPr>
              <w:t xml:space="preserve"> ir nepiemērot maksimālo NĪN likmi objektiem -  būves tips 11100101 Dārza mājas ar kopējo platību līdz 40 m</w:t>
            </w:r>
            <w:r w:rsidR="00B63F41" w:rsidRPr="00F739BB">
              <w:rPr>
                <w:sz w:val="22"/>
                <w:szCs w:val="22"/>
                <w:vertAlign w:val="superscript"/>
              </w:rPr>
              <w:t>2</w:t>
            </w:r>
            <w:r w:rsidR="00B63F41" w:rsidRPr="00F739BB">
              <w:rPr>
                <w:sz w:val="22"/>
                <w:szCs w:val="22"/>
              </w:rPr>
              <w:t xml:space="preserve"> (ieskaitot) un ekspluatācijā nenodotām ēkām (jaunbūvēm), kuru būvniecībā nav pārsniegts normatīvajos aktos noteiktais kopējais būvdarbu veikšanas ilgums</w:t>
            </w:r>
            <w:r w:rsidR="00803AC8" w:rsidRPr="00F739BB">
              <w:rPr>
                <w:sz w:val="22"/>
                <w:szCs w:val="22"/>
              </w:rPr>
              <w:t xml:space="preserve">, </w:t>
            </w:r>
            <w:r w:rsidR="00803AC8" w:rsidRPr="00803AC8">
              <w:rPr>
                <w:sz w:val="22"/>
                <w:szCs w:val="22"/>
              </w:rPr>
              <w:t>nosakot atšķirīgu NĪN likmi</w:t>
            </w:r>
            <w:r w:rsidR="00803AC8">
              <w:rPr>
                <w:sz w:val="22"/>
                <w:szCs w:val="22"/>
              </w:rPr>
              <w:t xml:space="preserve">, jo šajos objektos pastāvīga dzīvošana nav iespējama. </w:t>
            </w:r>
          </w:p>
          <w:p w:rsidR="00E0498A" w:rsidRPr="00803AC8" w:rsidRDefault="00393836" w:rsidP="00393836">
            <w:pPr>
              <w:ind w:firstLine="377"/>
              <w:jc w:val="both"/>
              <w:rPr>
                <w:color w:val="000000" w:themeColor="text1"/>
                <w:sz w:val="22"/>
                <w:szCs w:val="22"/>
              </w:rPr>
            </w:pPr>
            <w:r w:rsidRPr="00803AC8">
              <w:rPr>
                <w:sz w:val="22"/>
                <w:szCs w:val="22"/>
              </w:rPr>
              <w:t xml:space="preserve">Ņemot vērā minēto, nepieciešams veikt grozījumu </w:t>
            </w:r>
            <w:r w:rsidRPr="00803AC8">
              <w:rPr>
                <w:bCs/>
                <w:sz w:val="22"/>
                <w:szCs w:val="22"/>
              </w:rPr>
              <w:t>Saistošajos noteikumos Nr.45, izdodot jaunus Saistošos noteikumus</w:t>
            </w:r>
            <w:r w:rsidRPr="00803AC8">
              <w:rPr>
                <w:sz w:val="22"/>
                <w:szCs w:val="22"/>
              </w:rPr>
              <w:t xml:space="preserve">. </w:t>
            </w:r>
            <w:r w:rsidR="007F7788" w:rsidRPr="00803AC8">
              <w:rPr>
                <w:bCs/>
                <w:color w:val="000000" w:themeColor="text1"/>
                <w:sz w:val="22"/>
                <w:szCs w:val="22"/>
              </w:rPr>
              <w:t xml:space="preserve">                                                                                                                                                                                                                                                                                                                                                                                                                                                                                                                                                                                                                                                                                                                                                                                                                                                                                                                                                                                                                                                                                                                                                                                                                                                                                                                                                                                                                                                                                                                                                                                                                                                                                                                                                                                                                                                                                                                                                                                                                                                                                                                                                                                                                                         </w:t>
            </w:r>
          </w:p>
        </w:tc>
      </w:tr>
      <w:tr w:rsidR="00E0498A" w:rsidRPr="00DA131B"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A16A46" w:rsidP="00EC2CAA">
            <w:pPr>
              <w:pStyle w:val="naiskr"/>
              <w:spacing w:before="120" w:after="120"/>
              <w:rPr>
                <w:bCs/>
                <w:sz w:val="22"/>
                <w:szCs w:val="22"/>
              </w:rPr>
            </w:pPr>
            <w:r>
              <w:rPr>
                <w:bCs/>
                <w:sz w:val="22"/>
                <w:szCs w:val="22"/>
              </w:rPr>
              <w:t xml:space="preserve"> </w:t>
            </w:r>
            <w:r w:rsidR="00E0498A" w:rsidRPr="00A42BD4">
              <w:rPr>
                <w:bCs/>
                <w:sz w:val="22"/>
                <w:szCs w:val="22"/>
              </w:rPr>
              <w:t>2. Īss projekta satura izklāsts</w:t>
            </w:r>
          </w:p>
          <w:p w:rsidR="00E0498A" w:rsidRPr="00A42BD4" w:rsidRDefault="00E0498A" w:rsidP="00EC2CAA">
            <w:pPr>
              <w:pStyle w:val="naiskr"/>
              <w:spacing w:before="120" w:after="120"/>
              <w:rPr>
                <w:bCs/>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F739BB" w:rsidRDefault="009B5F1A" w:rsidP="00A83B11">
            <w:pPr>
              <w:ind w:firstLine="323"/>
              <w:jc w:val="both"/>
              <w:rPr>
                <w:bCs/>
                <w:sz w:val="22"/>
                <w:szCs w:val="22"/>
              </w:rPr>
            </w:pPr>
            <w:r w:rsidRPr="00F739BB">
              <w:rPr>
                <w:bCs/>
                <w:sz w:val="22"/>
                <w:szCs w:val="22"/>
              </w:rPr>
              <w:t xml:space="preserve">Rēzeknes novada pašvaldības </w:t>
            </w:r>
            <w:r w:rsidR="00AA18A8" w:rsidRPr="00F739BB">
              <w:rPr>
                <w:bCs/>
                <w:sz w:val="22"/>
                <w:szCs w:val="22"/>
              </w:rPr>
              <w:t>sais</w:t>
            </w:r>
            <w:r w:rsidR="00393836" w:rsidRPr="00F739BB">
              <w:rPr>
                <w:bCs/>
                <w:sz w:val="22"/>
                <w:szCs w:val="22"/>
              </w:rPr>
              <w:t>tošie noteikumi</w:t>
            </w:r>
            <w:r w:rsidR="00384DCF" w:rsidRPr="00F739BB">
              <w:rPr>
                <w:bCs/>
                <w:sz w:val="22"/>
                <w:szCs w:val="22"/>
              </w:rPr>
              <w:t xml:space="preserve"> „Grozījumi</w:t>
            </w:r>
            <w:r w:rsidR="005308A8" w:rsidRPr="00F739BB">
              <w:rPr>
                <w:bCs/>
                <w:sz w:val="22"/>
                <w:szCs w:val="22"/>
              </w:rPr>
              <w:t xml:space="preserve"> </w:t>
            </w:r>
            <w:r w:rsidR="00E0498A" w:rsidRPr="00F739BB">
              <w:rPr>
                <w:bCs/>
                <w:sz w:val="22"/>
                <w:szCs w:val="22"/>
              </w:rPr>
              <w:t>Rēzeknes novada pašvaldības 201</w:t>
            </w:r>
            <w:r w:rsidR="00DC1456" w:rsidRPr="00F739BB">
              <w:rPr>
                <w:bCs/>
                <w:sz w:val="22"/>
                <w:szCs w:val="22"/>
              </w:rPr>
              <w:t>4</w:t>
            </w:r>
            <w:r w:rsidR="00E0498A" w:rsidRPr="00F739BB">
              <w:rPr>
                <w:bCs/>
                <w:sz w:val="22"/>
                <w:szCs w:val="22"/>
              </w:rPr>
              <w:t xml:space="preserve">.gada </w:t>
            </w:r>
            <w:r w:rsidR="00DC1456" w:rsidRPr="00F739BB">
              <w:rPr>
                <w:bCs/>
                <w:sz w:val="22"/>
                <w:szCs w:val="22"/>
              </w:rPr>
              <w:t>16.oktobra saistošajos noteikumos Nr.45 „Par nekustamā īpašuma nodokli Rēzeknes novadā</w:t>
            </w:r>
            <w:r w:rsidR="00111A79" w:rsidRPr="00F739BB">
              <w:rPr>
                <w:bCs/>
                <w:sz w:val="22"/>
                <w:szCs w:val="22"/>
              </w:rPr>
              <w:t>””, izdoti</w:t>
            </w:r>
            <w:r w:rsidR="00E0498A" w:rsidRPr="00F739BB">
              <w:rPr>
                <w:bCs/>
                <w:sz w:val="22"/>
                <w:szCs w:val="22"/>
              </w:rPr>
              <w:t xml:space="preserve"> saskaņā</w:t>
            </w:r>
            <w:r w:rsidR="00DC1456" w:rsidRPr="00F739BB">
              <w:rPr>
                <w:sz w:val="22"/>
                <w:szCs w:val="22"/>
              </w:rPr>
              <w:t xml:space="preserve"> ar  likuma „Par nekustamā īpašuma nodokli”</w:t>
            </w:r>
            <w:r w:rsidR="000B2C80" w:rsidRPr="00F739BB">
              <w:rPr>
                <w:sz w:val="22"/>
                <w:szCs w:val="22"/>
              </w:rPr>
              <w:t xml:space="preserve"> </w:t>
            </w:r>
            <w:r w:rsidR="00B72498" w:rsidRPr="00F739BB">
              <w:rPr>
                <w:sz w:val="22"/>
                <w:szCs w:val="22"/>
              </w:rPr>
              <w:t>2.panta 8.</w:t>
            </w:r>
            <w:r w:rsidR="00B72498" w:rsidRPr="00F739BB">
              <w:rPr>
                <w:sz w:val="22"/>
                <w:szCs w:val="22"/>
                <w:vertAlign w:val="superscript"/>
              </w:rPr>
              <w:t>1</w:t>
            </w:r>
            <w:r w:rsidR="00B72498" w:rsidRPr="00F739BB">
              <w:rPr>
                <w:sz w:val="22"/>
                <w:szCs w:val="22"/>
              </w:rPr>
              <w:t xml:space="preserve"> daļu, </w:t>
            </w:r>
            <w:r w:rsidR="000B2C80" w:rsidRPr="00F739BB">
              <w:rPr>
                <w:sz w:val="22"/>
                <w:szCs w:val="22"/>
              </w:rPr>
              <w:t>3.panta pirmo daļu</w:t>
            </w:r>
            <w:r w:rsidR="00393836" w:rsidRPr="00F739BB">
              <w:rPr>
                <w:sz w:val="22"/>
                <w:szCs w:val="22"/>
              </w:rPr>
              <w:t>.</w:t>
            </w:r>
          </w:p>
          <w:p w:rsidR="000B2C80" w:rsidRPr="00F739BB" w:rsidRDefault="00E0498A" w:rsidP="00A83B11">
            <w:pPr>
              <w:pStyle w:val="naisnod"/>
              <w:spacing w:before="0" w:after="0"/>
              <w:ind w:firstLine="323"/>
              <w:jc w:val="both"/>
              <w:rPr>
                <w:b w:val="0"/>
                <w:bCs w:val="0"/>
                <w:sz w:val="22"/>
                <w:szCs w:val="22"/>
              </w:rPr>
            </w:pPr>
            <w:r w:rsidRPr="00F739BB">
              <w:rPr>
                <w:b w:val="0"/>
                <w:bCs w:val="0"/>
                <w:sz w:val="22"/>
                <w:szCs w:val="22"/>
              </w:rPr>
              <w:t>Saistošo noteikumu izdošanas mērķis – izdarīt grozījumus spēkā esoš</w:t>
            </w:r>
            <w:r w:rsidR="000B2C80" w:rsidRPr="00F739BB">
              <w:rPr>
                <w:b w:val="0"/>
                <w:bCs w:val="0"/>
                <w:sz w:val="22"/>
                <w:szCs w:val="22"/>
              </w:rPr>
              <w:t>ajos Saistošajos noteikumos Nr.45</w:t>
            </w:r>
            <w:r w:rsidRPr="00F739BB">
              <w:rPr>
                <w:b w:val="0"/>
                <w:bCs w:val="0"/>
                <w:sz w:val="22"/>
                <w:szCs w:val="22"/>
              </w:rPr>
              <w:t>.</w:t>
            </w:r>
          </w:p>
          <w:p w:rsidR="00B63F41" w:rsidRPr="00F739BB" w:rsidRDefault="00B63F41" w:rsidP="00A83B11">
            <w:pPr>
              <w:pStyle w:val="naisnod"/>
              <w:spacing w:before="0" w:after="0"/>
              <w:ind w:firstLine="323"/>
              <w:jc w:val="both"/>
              <w:rPr>
                <w:b w:val="0"/>
                <w:bCs w:val="0"/>
                <w:sz w:val="22"/>
                <w:szCs w:val="22"/>
              </w:rPr>
            </w:pPr>
            <w:r w:rsidRPr="00F739BB">
              <w:rPr>
                <w:b w:val="0"/>
                <w:bCs w:val="0"/>
                <w:sz w:val="22"/>
                <w:szCs w:val="22"/>
              </w:rPr>
              <w:t>Papildināt saistošo noteikumu Nr.45 10</w:t>
            </w:r>
            <w:r w:rsidRPr="00F739BB">
              <w:rPr>
                <w:b w:val="0"/>
                <w:bCs w:val="0"/>
                <w:sz w:val="22"/>
                <w:szCs w:val="22"/>
                <w:vertAlign w:val="superscript"/>
              </w:rPr>
              <w:t>1</w:t>
            </w:r>
            <w:r w:rsidRPr="00F739BB">
              <w:rPr>
                <w:b w:val="0"/>
                <w:bCs w:val="0"/>
                <w:sz w:val="22"/>
                <w:szCs w:val="22"/>
              </w:rPr>
              <w:t>.1.punkta pirmo teikumu aiz vārda “objektiem”, ar vārdiem “</w:t>
            </w:r>
            <w:r w:rsidRPr="00F739BB">
              <w:rPr>
                <w:b w:val="0"/>
                <w:sz w:val="22"/>
                <w:szCs w:val="22"/>
              </w:rPr>
              <w:t>izņemot būves tipu 11100101 Dārza mājas ar kopējo platību līdz 40 m</w:t>
            </w:r>
            <w:r w:rsidRPr="00F739BB">
              <w:rPr>
                <w:b w:val="0"/>
                <w:sz w:val="22"/>
                <w:szCs w:val="22"/>
                <w:vertAlign w:val="superscript"/>
              </w:rPr>
              <w:t>2</w:t>
            </w:r>
            <w:r w:rsidRPr="00F739BB">
              <w:rPr>
                <w:b w:val="0"/>
                <w:sz w:val="22"/>
                <w:szCs w:val="22"/>
              </w:rPr>
              <w:t xml:space="preserve"> (ieskaitot) un ekspluatācijā nenodotas ēkas (jaunbūves), kuru būvniecībā nav pārsniegts normatīvajos aktos noteiktais kopējais būvdarbu veikšanas ilgums,”.</w:t>
            </w:r>
          </w:p>
          <w:p w:rsidR="00E0498A" w:rsidRPr="00F739BB" w:rsidRDefault="00B63F41" w:rsidP="00803AC8">
            <w:pPr>
              <w:tabs>
                <w:tab w:val="left" w:pos="993"/>
              </w:tabs>
              <w:ind w:firstLine="345"/>
              <w:jc w:val="both"/>
              <w:rPr>
                <w:bCs/>
                <w:sz w:val="22"/>
                <w:szCs w:val="22"/>
                <w:lang w:eastAsia="en-US"/>
              </w:rPr>
            </w:pPr>
            <w:r w:rsidRPr="00F739BB">
              <w:rPr>
                <w:bCs/>
                <w:sz w:val="22"/>
                <w:szCs w:val="22"/>
              </w:rPr>
              <w:t>Papildināt saistošos noteikumus ar 10</w:t>
            </w:r>
            <w:r w:rsidRPr="00F739BB">
              <w:rPr>
                <w:bCs/>
                <w:sz w:val="22"/>
                <w:szCs w:val="22"/>
                <w:vertAlign w:val="superscript"/>
              </w:rPr>
              <w:t>1</w:t>
            </w:r>
            <w:r w:rsidRPr="00F739BB">
              <w:rPr>
                <w:bCs/>
                <w:sz w:val="22"/>
                <w:szCs w:val="22"/>
              </w:rPr>
              <w:t>.3.punktu</w:t>
            </w:r>
            <w:r w:rsidRPr="00F739BB">
              <w:rPr>
                <w:bCs/>
                <w:sz w:val="22"/>
                <w:szCs w:val="22"/>
                <w:lang w:eastAsia="en-US"/>
              </w:rPr>
              <w:t xml:space="preserve"> </w:t>
            </w:r>
            <w:r w:rsidR="00803AC8" w:rsidRPr="00F739BB">
              <w:rPr>
                <w:bCs/>
                <w:sz w:val="22"/>
                <w:szCs w:val="22"/>
                <w:lang w:eastAsia="en-US"/>
              </w:rPr>
              <w:t xml:space="preserve">- </w:t>
            </w:r>
            <w:r w:rsidRPr="00F739BB">
              <w:rPr>
                <w:rFonts w:eastAsia="Lucida Sans Unicode" w:cs="Tahoma"/>
                <w:sz w:val="22"/>
                <w:szCs w:val="22"/>
                <w:lang w:eastAsia="en-US"/>
              </w:rPr>
              <w:t>fizisko personu īpašumā, tiesiskajā valdījumā vai lietošanā esošajiem objektiem, kuru lietošanas veids ir dzīvošanai, bet tā platība ir mazāka par 40 m</w:t>
            </w:r>
            <w:r w:rsidRPr="00F739BB">
              <w:rPr>
                <w:rFonts w:eastAsia="Lucida Sans Unicode" w:cs="Tahoma"/>
                <w:sz w:val="22"/>
                <w:szCs w:val="22"/>
                <w:vertAlign w:val="superscript"/>
                <w:lang w:eastAsia="en-US"/>
              </w:rPr>
              <w:t>2</w:t>
            </w:r>
            <w:r w:rsidRPr="00F739BB">
              <w:rPr>
                <w:rFonts w:eastAsia="Lucida Sans Unicode" w:cs="Tahoma"/>
                <w:sz w:val="22"/>
                <w:szCs w:val="22"/>
                <w:lang w:eastAsia="en-US"/>
              </w:rPr>
              <w:t xml:space="preserve"> (būves tips 11100101 Dārza mājas ar kopējo platību līdz 40 m</w:t>
            </w:r>
            <w:r w:rsidRPr="00F739BB">
              <w:rPr>
                <w:rFonts w:eastAsia="Lucida Sans Unicode" w:cs="Tahoma"/>
                <w:sz w:val="22"/>
                <w:szCs w:val="22"/>
                <w:vertAlign w:val="superscript"/>
                <w:lang w:eastAsia="en-US"/>
              </w:rPr>
              <w:t>2</w:t>
            </w:r>
            <w:r w:rsidRPr="00F739BB">
              <w:rPr>
                <w:rFonts w:eastAsia="Lucida Sans Unicode" w:cs="Tahoma"/>
                <w:sz w:val="22"/>
                <w:szCs w:val="22"/>
                <w:lang w:eastAsia="en-US"/>
              </w:rPr>
              <w:t xml:space="preserve"> (ieskaitot), ja konkrētā objekta vai tā atbilstošās daļas īpašnieka, tiesiskā valdītāja vai lietotāja deklarētā dzīvesvieta taksācijas gada 1.janvārī plkst. 0.00 ir Rēzeknes novada teritorijā vai arī konkrētajā objektā taksācijas gada 1.janvārī plkst. 0.00 dzīvesvieta ir deklarēta vismaz vienai personai. Ja objektā taksācijas gada 1.janvārī plkst. 0.00 dzīvesvieta nav deklarēta nevienai personai, un šī objekta atbilstošās daļas īpašnieka, tiesiskā valdītāja vai lietotāja deklarētā dzīvesvieta taksācijas gada 1.janvārī plkst. 0.00 nav Rēzeknes novada teritorijā, piemēro nekustamā īpašuma nodokļa likmi 0,6% apmērā no objekta kadastrālās vērtības.</w:t>
            </w:r>
          </w:p>
        </w:tc>
      </w:tr>
      <w:tr w:rsidR="00E0498A" w:rsidRPr="00EA19C6"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f"/>
              <w:spacing w:before="120" w:after="120"/>
              <w:ind w:firstLine="0"/>
              <w:jc w:val="left"/>
              <w:rPr>
                <w:bCs/>
                <w:sz w:val="22"/>
                <w:szCs w:val="22"/>
                <w:lang w:val="lv-LV"/>
              </w:rPr>
            </w:pPr>
            <w:r w:rsidRPr="00A42BD4">
              <w:rPr>
                <w:bCs/>
                <w:sz w:val="22"/>
                <w:szCs w:val="22"/>
                <w:lang w:val="lv-LV"/>
              </w:rPr>
              <w:lastRenderedPageBreak/>
              <w:t>3. Informācija par plānoto projekta ietekmi uz pašvaldības budžetu</w:t>
            </w:r>
          </w:p>
        </w:tc>
        <w:tc>
          <w:tcPr>
            <w:tcW w:w="6804" w:type="dxa"/>
            <w:tcBorders>
              <w:top w:val="single" w:sz="4" w:space="0" w:color="auto"/>
              <w:left w:val="single" w:sz="4" w:space="0" w:color="auto"/>
              <w:bottom w:val="single" w:sz="4" w:space="0" w:color="auto"/>
              <w:right w:val="single" w:sz="4" w:space="0" w:color="auto"/>
            </w:tcBorders>
            <w:vAlign w:val="center"/>
          </w:tcPr>
          <w:p w:rsidR="006477BC" w:rsidRDefault="006477BC" w:rsidP="0020343C">
            <w:pPr>
              <w:pStyle w:val="naisnod"/>
              <w:spacing w:before="0" w:after="0"/>
              <w:ind w:firstLine="374"/>
              <w:jc w:val="both"/>
              <w:rPr>
                <w:b w:val="0"/>
                <w:bCs w:val="0"/>
                <w:sz w:val="22"/>
                <w:szCs w:val="22"/>
                <w:lang w:eastAsia="en-US"/>
              </w:rPr>
            </w:pPr>
            <w:r w:rsidRPr="006477BC">
              <w:rPr>
                <w:b w:val="0"/>
                <w:bCs w:val="0"/>
                <w:sz w:val="22"/>
                <w:szCs w:val="22"/>
                <w:lang w:eastAsia="en-US"/>
              </w:rPr>
              <w:t>Saistošo noteikumu īstenošana</w:t>
            </w:r>
            <w:r w:rsidR="00FB48BC">
              <w:rPr>
                <w:b w:val="0"/>
                <w:bCs w:val="0"/>
                <w:sz w:val="22"/>
                <w:szCs w:val="22"/>
                <w:lang w:eastAsia="en-US"/>
              </w:rPr>
              <w:t xml:space="preserve"> </w:t>
            </w:r>
            <w:r>
              <w:rPr>
                <w:b w:val="0"/>
                <w:bCs w:val="0"/>
                <w:sz w:val="22"/>
                <w:szCs w:val="22"/>
                <w:lang w:eastAsia="en-US"/>
              </w:rPr>
              <w:t>ietekmē pašvaldības budžet</w:t>
            </w:r>
            <w:r w:rsidR="0020343C">
              <w:rPr>
                <w:b w:val="0"/>
                <w:bCs w:val="0"/>
                <w:sz w:val="22"/>
                <w:szCs w:val="22"/>
                <w:lang w:eastAsia="en-US"/>
              </w:rPr>
              <w:t xml:space="preserve">u. Budžeta ieņēmumus no nekustamā īpašuma nodokļa plānots </w:t>
            </w:r>
            <w:r w:rsidR="00803AC8">
              <w:rPr>
                <w:b w:val="0"/>
                <w:bCs w:val="0"/>
                <w:sz w:val="22"/>
                <w:szCs w:val="22"/>
                <w:lang w:eastAsia="en-US"/>
              </w:rPr>
              <w:t>samazināt</w:t>
            </w:r>
            <w:r w:rsidR="0020343C">
              <w:rPr>
                <w:b w:val="0"/>
                <w:bCs w:val="0"/>
                <w:sz w:val="22"/>
                <w:szCs w:val="22"/>
                <w:lang w:eastAsia="en-US"/>
              </w:rPr>
              <w:t xml:space="preserve"> apjomā līdz  </w:t>
            </w:r>
            <w:r w:rsidR="00803AC8">
              <w:rPr>
                <w:b w:val="0"/>
                <w:bCs w:val="0"/>
                <w:sz w:val="22"/>
                <w:szCs w:val="22"/>
                <w:lang w:eastAsia="en-US"/>
              </w:rPr>
              <w:t>11 </w:t>
            </w:r>
            <w:r w:rsidR="008E6EF7">
              <w:rPr>
                <w:b w:val="0"/>
                <w:bCs w:val="0"/>
                <w:sz w:val="22"/>
                <w:szCs w:val="22"/>
                <w:lang w:eastAsia="en-US"/>
              </w:rPr>
              <w:t>500</w:t>
            </w:r>
            <w:r w:rsidR="00803AC8">
              <w:rPr>
                <w:b w:val="0"/>
                <w:bCs w:val="0"/>
                <w:sz w:val="22"/>
                <w:szCs w:val="22"/>
                <w:lang w:eastAsia="en-US"/>
              </w:rPr>
              <w:t xml:space="preserve"> </w:t>
            </w:r>
            <w:r w:rsidR="0020343C">
              <w:rPr>
                <w:b w:val="0"/>
                <w:bCs w:val="0"/>
                <w:sz w:val="22"/>
                <w:szCs w:val="22"/>
                <w:lang w:eastAsia="en-US"/>
              </w:rPr>
              <w:t xml:space="preserve">EUR. </w:t>
            </w:r>
          </w:p>
          <w:p w:rsidR="00E0498A" w:rsidRPr="00656ED7" w:rsidRDefault="006477BC" w:rsidP="006477BC">
            <w:pPr>
              <w:pStyle w:val="naisnod"/>
              <w:spacing w:before="0" w:after="0"/>
              <w:ind w:firstLine="374"/>
              <w:jc w:val="both"/>
              <w:rPr>
                <w:b w:val="0"/>
                <w:bCs w:val="0"/>
                <w:sz w:val="22"/>
                <w:szCs w:val="22"/>
                <w:lang w:eastAsia="en-US"/>
              </w:rPr>
            </w:pPr>
            <w:r w:rsidRPr="006477BC">
              <w:rPr>
                <w:b w:val="0"/>
                <w:bCs w:val="0"/>
                <w:sz w:val="22"/>
                <w:szCs w:val="22"/>
                <w:lang w:eastAsia="en-US"/>
              </w:rPr>
              <w:t>Lai nodrošinātu saistošo noteikumu izpildi nav nepieciešams veidot jaunas institūcijas vai radīt jaunas darba vietas.</w:t>
            </w:r>
          </w:p>
        </w:tc>
      </w:tr>
      <w:tr w:rsidR="00E0498A" w:rsidRPr="00951E47" w:rsidTr="005308A8">
        <w:trPr>
          <w:cantSplit/>
          <w:trHeight w:val="1096"/>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t>4. Informācija par plānoto projekta ietekmi uz uzņēmējdarbības vidi pašvaldības teritorijā</w:t>
            </w:r>
          </w:p>
        </w:tc>
        <w:tc>
          <w:tcPr>
            <w:tcW w:w="6804" w:type="dxa"/>
            <w:tcBorders>
              <w:top w:val="single" w:sz="4" w:space="0" w:color="auto"/>
              <w:left w:val="single" w:sz="4" w:space="0" w:color="auto"/>
              <w:bottom w:val="single" w:sz="4" w:space="0" w:color="auto"/>
              <w:right w:val="single" w:sz="4" w:space="0" w:color="auto"/>
            </w:tcBorders>
            <w:vAlign w:val="center"/>
          </w:tcPr>
          <w:p w:rsidR="005D20AF" w:rsidRDefault="005454AF" w:rsidP="005D20AF">
            <w:pPr>
              <w:pStyle w:val="tvhtml1"/>
              <w:spacing w:before="0" w:beforeAutospacing="0" w:after="0" w:afterAutospacing="0" w:line="240" w:lineRule="auto"/>
              <w:ind w:firstLine="459"/>
              <w:jc w:val="both"/>
              <w:rPr>
                <w:rFonts w:ascii="Times New Roman" w:hAnsi="Times New Roman"/>
                <w:sz w:val="22"/>
                <w:szCs w:val="22"/>
              </w:rPr>
            </w:pPr>
            <w:r w:rsidRPr="00951E47">
              <w:rPr>
                <w:rFonts w:ascii="Times New Roman" w:hAnsi="Times New Roman"/>
                <w:sz w:val="22"/>
                <w:szCs w:val="22"/>
              </w:rPr>
              <w:t xml:space="preserve">Saistošo noteikumu projekts attiecināms uz visiem nekustamā īpašuma nodokļu maksātājiem </w:t>
            </w:r>
            <w:r w:rsidR="00167C78" w:rsidRPr="00306B06">
              <w:rPr>
                <w:rFonts w:ascii="Times New Roman" w:hAnsi="Times New Roman"/>
                <w:sz w:val="22"/>
                <w:szCs w:val="22"/>
              </w:rPr>
              <w:t>un</w:t>
            </w:r>
            <w:r w:rsidR="00167C78">
              <w:rPr>
                <w:rFonts w:ascii="Times New Roman" w:hAnsi="Times New Roman"/>
                <w:sz w:val="22"/>
                <w:szCs w:val="22"/>
              </w:rPr>
              <w:t xml:space="preserve"> </w:t>
            </w:r>
            <w:r w:rsidRPr="00951E47">
              <w:rPr>
                <w:rFonts w:ascii="Times New Roman" w:hAnsi="Times New Roman"/>
                <w:sz w:val="22"/>
                <w:szCs w:val="22"/>
              </w:rPr>
              <w:t>piemērojams visā Rēzeknes novada teritorijā.</w:t>
            </w:r>
          </w:p>
          <w:p w:rsidR="009155DB" w:rsidRPr="005D20AF" w:rsidRDefault="006477BC" w:rsidP="005D20AF">
            <w:pPr>
              <w:pStyle w:val="tvhtml1"/>
              <w:spacing w:before="0" w:beforeAutospacing="0" w:after="0" w:afterAutospacing="0" w:line="240" w:lineRule="auto"/>
              <w:ind w:firstLine="459"/>
              <w:jc w:val="both"/>
              <w:rPr>
                <w:rFonts w:ascii="Times New Roman" w:hAnsi="Times New Roman"/>
                <w:sz w:val="22"/>
                <w:szCs w:val="22"/>
              </w:rPr>
            </w:pPr>
            <w:r w:rsidRPr="005D20AF">
              <w:rPr>
                <w:rFonts w:ascii="Times New Roman" w:hAnsi="Times New Roman"/>
                <w:sz w:val="22"/>
                <w:szCs w:val="22"/>
                <w:lang w:eastAsia="en-US"/>
              </w:rPr>
              <w:t>Uzņēmējdarbības vidi pašvaldības teritorijā saistošie noteikumi neskars.</w:t>
            </w:r>
          </w:p>
        </w:tc>
      </w:tr>
      <w:tr w:rsidR="00E0498A" w:rsidRPr="00951E47"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t>5. Informācija par administratīvajām procedūrām</w:t>
            </w: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951E47" w:rsidRDefault="005454AF" w:rsidP="005454AF">
            <w:pPr>
              <w:widowControl w:val="0"/>
              <w:autoSpaceDE w:val="0"/>
              <w:autoSpaceDN w:val="0"/>
              <w:adjustRightInd w:val="0"/>
              <w:ind w:left="34" w:firstLine="425"/>
              <w:jc w:val="both"/>
              <w:rPr>
                <w:rFonts w:eastAsia="Calibri"/>
                <w:bCs/>
                <w:sz w:val="22"/>
                <w:szCs w:val="22"/>
                <w:lang w:eastAsia="en-US"/>
              </w:rPr>
            </w:pPr>
            <w:r w:rsidRPr="005454AF">
              <w:rPr>
                <w:rFonts w:eastAsia="Calibri"/>
                <w:bCs/>
                <w:sz w:val="22"/>
                <w:szCs w:val="22"/>
                <w:lang w:eastAsia="en-US"/>
              </w:rPr>
              <w:t xml:space="preserve">Personas Saistošo noteikumu projekta piemērošanas jautājumos var griezties Rēzeknes novada pašvaldības </w:t>
            </w:r>
            <w:r w:rsidR="00951E47">
              <w:rPr>
                <w:rFonts w:eastAsia="Calibri"/>
                <w:bCs/>
                <w:sz w:val="22"/>
                <w:szCs w:val="22"/>
                <w:lang w:eastAsia="en-US"/>
              </w:rPr>
              <w:t>Z</w:t>
            </w:r>
            <w:r w:rsidRPr="00951E47">
              <w:rPr>
                <w:rFonts w:eastAsia="Calibri"/>
                <w:bCs/>
                <w:sz w:val="22"/>
                <w:szCs w:val="22"/>
                <w:lang w:eastAsia="en-US"/>
              </w:rPr>
              <w:t>emes pārvaldības dienestā.</w:t>
            </w:r>
          </w:p>
          <w:p w:rsidR="005454AF" w:rsidRPr="00951E47" w:rsidRDefault="005454AF" w:rsidP="005454AF">
            <w:pPr>
              <w:widowControl w:val="0"/>
              <w:autoSpaceDE w:val="0"/>
              <w:autoSpaceDN w:val="0"/>
              <w:adjustRightInd w:val="0"/>
              <w:ind w:left="34" w:firstLine="425"/>
              <w:jc w:val="both"/>
              <w:rPr>
                <w:b/>
                <w:bCs/>
                <w:sz w:val="22"/>
                <w:szCs w:val="22"/>
                <w:lang w:eastAsia="en-US"/>
              </w:rPr>
            </w:pPr>
            <w:r w:rsidRPr="00951E47">
              <w:rPr>
                <w:rFonts w:eastAsia="Calibri"/>
                <w:bCs/>
                <w:sz w:val="22"/>
                <w:szCs w:val="22"/>
                <w:lang w:eastAsia="en-US"/>
              </w:rPr>
              <w:t>Saistošo noteikumu projekts neskar administratīvās procedūras.</w:t>
            </w:r>
          </w:p>
        </w:tc>
      </w:tr>
      <w:tr w:rsidR="00E0498A" w:rsidTr="005308A8">
        <w:trPr>
          <w:cantSplit/>
          <w:trHeight w:val="771"/>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t>6. Informācija par konsultācijām ar privātpersonām</w:t>
            </w:r>
          </w:p>
        </w:tc>
        <w:tc>
          <w:tcPr>
            <w:tcW w:w="6804" w:type="dxa"/>
            <w:tcBorders>
              <w:top w:val="single" w:sz="4" w:space="0" w:color="auto"/>
              <w:left w:val="single" w:sz="4" w:space="0" w:color="auto"/>
              <w:bottom w:val="single" w:sz="4" w:space="0" w:color="auto"/>
              <w:right w:val="single" w:sz="4" w:space="0" w:color="auto"/>
            </w:tcBorders>
            <w:vAlign w:val="center"/>
          </w:tcPr>
          <w:p w:rsidR="00306B06" w:rsidRDefault="00306B06" w:rsidP="00306B06">
            <w:pPr>
              <w:ind w:firstLine="377"/>
              <w:jc w:val="both"/>
              <w:rPr>
                <w:bCs/>
                <w:sz w:val="22"/>
                <w:szCs w:val="22"/>
              </w:rPr>
            </w:pPr>
            <w:r w:rsidRPr="00306B06">
              <w:rPr>
                <w:bCs/>
                <w:sz w:val="22"/>
                <w:szCs w:val="22"/>
              </w:rPr>
              <w:t>Sabiedrības līdzdalība Saistošo noteikumu projekta izstrādāšanā tika nodrošināta informējot iedzīvotājus ar Rēzeknes novada pašvaldības mājaslapas starpniecību, lūdzot izteikt viedokļus un priekšlikumus par Saistošo noteikumu projektu.</w:t>
            </w:r>
          </w:p>
          <w:p w:rsidR="00E0498A" w:rsidRPr="00306B06" w:rsidRDefault="00306B06" w:rsidP="00306B06">
            <w:pPr>
              <w:ind w:firstLine="377"/>
              <w:jc w:val="both"/>
              <w:rPr>
                <w:bCs/>
                <w:sz w:val="22"/>
                <w:szCs w:val="22"/>
              </w:rPr>
            </w:pPr>
            <w:r w:rsidRPr="00306B06">
              <w:rPr>
                <w:sz w:val="22"/>
                <w:szCs w:val="22"/>
              </w:rPr>
              <w:t>Viedokļi par Saistošo noteikumu projektu ______________</w:t>
            </w:r>
            <w:r w:rsidR="00CF08F8">
              <w:rPr>
                <w:sz w:val="22"/>
                <w:szCs w:val="22"/>
              </w:rPr>
              <w:t>.</w:t>
            </w:r>
          </w:p>
        </w:tc>
      </w:tr>
    </w:tbl>
    <w:p w:rsidR="00AA18A8" w:rsidRPr="00E6419C" w:rsidRDefault="00AA18A8" w:rsidP="00E0498A">
      <w:pPr>
        <w:ind w:right="-766"/>
      </w:pPr>
      <w:bookmarkStart w:id="0" w:name="_GoBack"/>
      <w:bookmarkEnd w:id="0"/>
    </w:p>
    <w:sectPr w:rsidR="00AA18A8" w:rsidRPr="00E6419C" w:rsidSect="00600E2B">
      <w:pgSz w:w="11906" w:h="16838"/>
      <w:pgMar w:top="1276" w:right="85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4C2" w:rsidRDefault="007B34C2">
      <w:r>
        <w:separator/>
      </w:r>
    </w:p>
  </w:endnote>
  <w:endnote w:type="continuationSeparator" w:id="0">
    <w:p w:rsidR="007B34C2" w:rsidRDefault="007B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4C2" w:rsidRDefault="007B34C2">
      <w:r>
        <w:separator/>
      </w:r>
    </w:p>
  </w:footnote>
  <w:footnote w:type="continuationSeparator" w:id="0">
    <w:p w:rsidR="007B34C2" w:rsidRDefault="007B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775"/>
    <w:multiLevelType w:val="multilevel"/>
    <w:tmpl w:val="A9B86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336ABB"/>
    <w:multiLevelType w:val="multilevel"/>
    <w:tmpl w:val="64E051F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07464F0"/>
    <w:multiLevelType w:val="multilevel"/>
    <w:tmpl w:val="664E196C"/>
    <w:lvl w:ilvl="0">
      <w:start w:val="1"/>
      <w:numFmt w:val="decimal"/>
      <w:lvlText w:val="%1."/>
      <w:lvlJc w:val="left"/>
      <w:pPr>
        <w:tabs>
          <w:tab w:val="num" w:pos="1020"/>
        </w:tabs>
        <w:ind w:left="1020" w:hanging="660"/>
      </w:pPr>
    </w:lvl>
    <w:lvl w:ilvl="1">
      <w:start w:val="1"/>
      <w:numFmt w:val="decimal"/>
      <w:isLgl/>
      <w:lvlText w:val="%1.%2."/>
      <w:lvlJc w:val="left"/>
      <w:pPr>
        <w:ind w:left="1428" w:hanging="435"/>
      </w:pPr>
    </w:lvl>
    <w:lvl w:ilvl="2">
      <w:start w:val="1"/>
      <w:numFmt w:val="decimal"/>
      <w:isLgl/>
      <w:lvlText w:val="%1.%2.%3."/>
      <w:lvlJc w:val="left"/>
      <w:pPr>
        <w:ind w:left="2400" w:hanging="720"/>
      </w:pPr>
    </w:lvl>
    <w:lvl w:ilvl="3">
      <w:start w:val="1"/>
      <w:numFmt w:val="decimal"/>
      <w:isLgl/>
      <w:lvlText w:val="%1.%2.%3.%4."/>
      <w:lvlJc w:val="left"/>
      <w:pPr>
        <w:ind w:left="3060" w:hanging="720"/>
      </w:pPr>
    </w:lvl>
    <w:lvl w:ilvl="4">
      <w:start w:val="1"/>
      <w:numFmt w:val="decimal"/>
      <w:isLgl/>
      <w:lvlText w:val="%1.%2.%3.%4.%5."/>
      <w:lvlJc w:val="left"/>
      <w:pPr>
        <w:ind w:left="4080" w:hanging="1080"/>
      </w:pPr>
    </w:lvl>
    <w:lvl w:ilvl="5">
      <w:start w:val="1"/>
      <w:numFmt w:val="decimal"/>
      <w:isLgl/>
      <w:lvlText w:val="%1.%2.%3.%4.%5.%6."/>
      <w:lvlJc w:val="left"/>
      <w:pPr>
        <w:ind w:left="4740" w:hanging="1080"/>
      </w:pPr>
    </w:lvl>
    <w:lvl w:ilvl="6">
      <w:start w:val="1"/>
      <w:numFmt w:val="decimal"/>
      <w:isLgl/>
      <w:lvlText w:val="%1.%2.%3.%4.%5.%6.%7."/>
      <w:lvlJc w:val="left"/>
      <w:pPr>
        <w:ind w:left="5760" w:hanging="1440"/>
      </w:pPr>
    </w:lvl>
    <w:lvl w:ilvl="7">
      <w:start w:val="1"/>
      <w:numFmt w:val="decimal"/>
      <w:isLgl/>
      <w:lvlText w:val="%1.%2.%3.%4.%5.%6.%7.%8."/>
      <w:lvlJc w:val="left"/>
      <w:pPr>
        <w:ind w:left="6420" w:hanging="1440"/>
      </w:pPr>
    </w:lvl>
    <w:lvl w:ilvl="8">
      <w:start w:val="1"/>
      <w:numFmt w:val="decimal"/>
      <w:isLgl/>
      <w:lvlText w:val="%1.%2.%3.%4.%5.%6.%7.%8.%9."/>
      <w:lvlJc w:val="left"/>
      <w:pPr>
        <w:ind w:left="7440" w:hanging="1800"/>
      </w:pPr>
    </w:lvl>
  </w:abstractNum>
  <w:abstractNum w:abstractNumId="3" w15:restartNumberingAfterBreak="0">
    <w:nsid w:val="49BD237B"/>
    <w:multiLevelType w:val="hybridMultilevel"/>
    <w:tmpl w:val="1E2027CC"/>
    <w:lvl w:ilvl="0" w:tplc="507AD4EC">
      <w:start w:val="1"/>
      <w:numFmt w:val="decimal"/>
      <w:lvlText w:val="%1)"/>
      <w:lvlJc w:val="left"/>
      <w:pPr>
        <w:ind w:left="737" w:hanging="360"/>
      </w:pPr>
      <w:rPr>
        <w:rFonts w:hint="default"/>
      </w:rPr>
    </w:lvl>
    <w:lvl w:ilvl="1" w:tplc="04260019" w:tentative="1">
      <w:start w:val="1"/>
      <w:numFmt w:val="lowerLetter"/>
      <w:lvlText w:val="%2."/>
      <w:lvlJc w:val="left"/>
      <w:pPr>
        <w:ind w:left="1457" w:hanging="360"/>
      </w:pPr>
    </w:lvl>
    <w:lvl w:ilvl="2" w:tplc="0426001B" w:tentative="1">
      <w:start w:val="1"/>
      <w:numFmt w:val="lowerRoman"/>
      <w:lvlText w:val="%3."/>
      <w:lvlJc w:val="right"/>
      <w:pPr>
        <w:ind w:left="2177" w:hanging="180"/>
      </w:pPr>
    </w:lvl>
    <w:lvl w:ilvl="3" w:tplc="0426000F" w:tentative="1">
      <w:start w:val="1"/>
      <w:numFmt w:val="decimal"/>
      <w:lvlText w:val="%4."/>
      <w:lvlJc w:val="left"/>
      <w:pPr>
        <w:ind w:left="2897" w:hanging="360"/>
      </w:pPr>
    </w:lvl>
    <w:lvl w:ilvl="4" w:tplc="04260019" w:tentative="1">
      <w:start w:val="1"/>
      <w:numFmt w:val="lowerLetter"/>
      <w:lvlText w:val="%5."/>
      <w:lvlJc w:val="left"/>
      <w:pPr>
        <w:ind w:left="3617" w:hanging="360"/>
      </w:pPr>
    </w:lvl>
    <w:lvl w:ilvl="5" w:tplc="0426001B" w:tentative="1">
      <w:start w:val="1"/>
      <w:numFmt w:val="lowerRoman"/>
      <w:lvlText w:val="%6."/>
      <w:lvlJc w:val="right"/>
      <w:pPr>
        <w:ind w:left="4337" w:hanging="180"/>
      </w:pPr>
    </w:lvl>
    <w:lvl w:ilvl="6" w:tplc="0426000F" w:tentative="1">
      <w:start w:val="1"/>
      <w:numFmt w:val="decimal"/>
      <w:lvlText w:val="%7."/>
      <w:lvlJc w:val="left"/>
      <w:pPr>
        <w:ind w:left="5057" w:hanging="360"/>
      </w:pPr>
    </w:lvl>
    <w:lvl w:ilvl="7" w:tplc="04260019" w:tentative="1">
      <w:start w:val="1"/>
      <w:numFmt w:val="lowerLetter"/>
      <w:lvlText w:val="%8."/>
      <w:lvlJc w:val="left"/>
      <w:pPr>
        <w:ind w:left="5777" w:hanging="360"/>
      </w:pPr>
    </w:lvl>
    <w:lvl w:ilvl="8" w:tplc="0426001B" w:tentative="1">
      <w:start w:val="1"/>
      <w:numFmt w:val="lowerRoman"/>
      <w:lvlText w:val="%9."/>
      <w:lvlJc w:val="right"/>
      <w:pPr>
        <w:ind w:left="6497"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FA2"/>
    <w:rsid w:val="00006BEC"/>
    <w:rsid w:val="00011F4D"/>
    <w:rsid w:val="000171D4"/>
    <w:rsid w:val="00053C13"/>
    <w:rsid w:val="0006275C"/>
    <w:rsid w:val="000775B6"/>
    <w:rsid w:val="000B0243"/>
    <w:rsid w:val="000B2C80"/>
    <w:rsid w:val="000F0D5B"/>
    <w:rsid w:val="000F7BE7"/>
    <w:rsid w:val="00105C0B"/>
    <w:rsid w:val="00111A79"/>
    <w:rsid w:val="001152CC"/>
    <w:rsid w:val="0013687C"/>
    <w:rsid w:val="00150262"/>
    <w:rsid w:val="001510F8"/>
    <w:rsid w:val="00152696"/>
    <w:rsid w:val="00165653"/>
    <w:rsid w:val="0016700F"/>
    <w:rsid w:val="00167C78"/>
    <w:rsid w:val="00183DCE"/>
    <w:rsid w:val="00190AC7"/>
    <w:rsid w:val="001A685E"/>
    <w:rsid w:val="001A7EE0"/>
    <w:rsid w:val="001B4048"/>
    <w:rsid w:val="0020343C"/>
    <w:rsid w:val="00211456"/>
    <w:rsid w:val="00211732"/>
    <w:rsid w:val="002118F4"/>
    <w:rsid w:val="00216F8C"/>
    <w:rsid w:val="00223231"/>
    <w:rsid w:val="0028003A"/>
    <w:rsid w:val="0028579E"/>
    <w:rsid w:val="00292E96"/>
    <w:rsid w:val="002B7A98"/>
    <w:rsid w:val="002C2C9A"/>
    <w:rsid w:val="002E754A"/>
    <w:rsid w:val="00306B06"/>
    <w:rsid w:val="003110DC"/>
    <w:rsid w:val="00313EB2"/>
    <w:rsid w:val="00325C84"/>
    <w:rsid w:val="0033066C"/>
    <w:rsid w:val="003348A7"/>
    <w:rsid w:val="00354DEB"/>
    <w:rsid w:val="00363939"/>
    <w:rsid w:val="00384DCF"/>
    <w:rsid w:val="00393836"/>
    <w:rsid w:val="003A3F7A"/>
    <w:rsid w:val="003E6EDC"/>
    <w:rsid w:val="00405043"/>
    <w:rsid w:val="00405661"/>
    <w:rsid w:val="0042329D"/>
    <w:rsid w:val="004332ED"/>
    <w:rsid w:val="004411B2"/>
    <w:rsid w:val="00494CDC"/>
    <w:rsid w:val="00496051"/>
    <w:rsid w:val="004A347A"/>
    <w:rsid w:val="004A4D87"/>
    <w:rsid w:val="004B392F"/>
    <w:rsid w:val="004B4FE2"/>
    <w:rsid w:val="00515547"/>
    <w:rsid w:val="005308A8"/>
    <w:rsid w:val="0053480A"/>
    <w:rsid w:val="00536769"/>
    <w:rsid w:val="005454AF"/>
    <w:rsid w:val="00552482"/>
    <w:rsid w:val="005564B5"/>
    <w:rsid w:val="0056229A"/>
    <w:rsid w:val="005D0841"/>
    <w:rsid w:val="005D0BE9"/>
    <w:rsid w:val="005D1255"/>
    <w:rsid w:val="005D20AF"/>
    <w:rsid w:val="005D6D3C"/>
    <w:rsid w:val="005E0442"/>
    <w:rsid w:val="005E2277"/>
    <w:rsid w:val="005F515A"/>
    <w:rsid w:val="00600E2B"/>
    <w:rsid w:val="00601AEB"/>
    <w:rsid w:val="00602454"/>
    <w:rsid w:val="0060652B"/>
    <w:rsid w:val="00611485"/>
    <w:rsid w:val="00612730"/>
    <w:rsid w:val="00612808"/>
    <w:rsid w:val="00630804"/>
    <w:rsid w:val="006438A3"/>
    <w:rsid w:val="00645CE5"/>
    <w:rsid w:val="00645E6E"/>
    <w:rsid w:val="006477BC"/>
    <w:rsid w:val="00651B23"/>
    <w:rsid w:val="00653DFD"/>
    <w:rsid w:val="00655FDA"/>
    <w:rsid w:val="00656ED7"/>
    <w:rsid w:val="00666284"/>
    <w:rsid w:val="0067079F"/>
    <w:rsid w:val="00677013"/>
    <w:rsid w:val="00677DC7"/>
    <w:rsid w:val="0068180E"/>
    <w:rsid w:val="00687C5B"/>
    <w:rsid w:val="006B685F"/>
    <w:rsid w:val="006D0489"/>
    <w:rsid w:val="006F4070"/>
    <w:rsid w:val="007005F0"/>
    <w:rsid w:val="00711FB7"/>
    <w:rsid w:val="0071276B"/>
    <w:rsid w:val="00763348"/>
    <w:rsid w:val="00763753"/>
    <w:rsid w:val="00786B79"/>
    <w:rsid w:val="007B34C2"/>
    <w:rsid w:val="007B58FC"/>
    <w:rsid w:val="007C5985"/>
    <w:rsid w:val="007C6DE3"/>
    <w:rsid w:val="007D1867"/>
    <w:rsid w:val="007E057F"/>
    <w:rsid w:val="007E3433"/>
    <w:rsid w:val="007F01E0"/>
    <w:rsid w:val="007F7788"/>
    <w:rsid w:val="00803AC8"/>
    <w:rsid w:val="00816763"/>
    <w:rsid w:val="00820BCF"/>
    <w:rsid w:val="00822C9E"/>
    <w:rsid w:val="0082559E"/>
    <w:rsid w:val="008455C1"/>
    <w:rsid w:val="008B272F"/>
    <w:rsid w:val="008C31E6"/>
    <w:rsid w:val="008C3F56"/>
    <w:rsid w:val="008C5718"/>
    <w:rsid w:val="008E6EF7"/>
    <w:rsid w:val="008F71C6"/>
    <w:rsid w:val="00905FA2"/>
    <w:rsid w:val="009155DB"/>
    <w:rsid w:val="009450C5"/>
    <w:rsid w:val="00951521"/>
    <w:rsid w:val="00951E47"/>
    <w:rsid w:val="00954AE3"/>
    <w:rsid w:val="00955141"/>
    <w:rsid w:val="009578A6"/>
    <w:rsid w:val="00960914"/>
    <w:rsid w:val="009A23EF"/>
    <w:rsid w:val="009B5F1A"/>
    <w:rsid w:val="009D28DC"/>
    <w:rsid w:val="009D6C6B"/>
    <w:rsid w:val="009F0B27"/>
    <w:rsid w:val="00A07654"/>
    <w:rsid w:val="00A1516D"/>
    <w:rsid w:val="00A16272"/>
    <w:rsid w:val="00A16A46"/>
    <w:rsid w:val="00A25A70"/>
    <w:rsid w:val="00A30DE5"/>
    <w:rsid w:val="00A4253C"/>
    <w:rsid w:val="00A42BD4"/>
    <w:rsid w:val="00A43C62"/>
    <w:rsid w:val="00A46FC8"/>
    <w:rsid w:val="00A53A72"/>
    <w:rsid w:val="00A75446"/>
    <w:rsid w:val="00A83B11"/>
    <w:rsid w:val="00A97AC5"/>
    <w:rsid w:val="00AA0AD4"/>
    <w:rsid w:val="00AA18A8"/>
    <w:rsid w:val="00AB5169"/>
    <w:rsid w:val="00AC09CE"/>
    <w:rsid w:val="00AC6753"/>
    <w:rsid w:val="00AD2866"/>
    <w:rsid w:val="00AD2899"/>
    <w:rsid w:val="00AD73DB"/>
    <w:rsid w:val="00B15DD2"/>
    <w:rsid w:val="00B51D28"/>
    <w:rsid w:val="00B53BA9"/>
    <w:rsid w:val="00B54A55"/>
    <w:rsid w:val="00B54B91"/>
    <w:rsid w:val="00B57157"/>
    <w:rsid w:val="00B63F41"/>
    <w:rsid w:val="00B6531A"/>
    <w:rsid w:val="00B72498"/>
    <w:rsid w:val="00B725CB"/>
    <w:rsid w:val="00B74596"/>
    <w:rsid w:val="00BB018C"/>
    <w:rsid w:val="00BC239B"/>
    <w:rsid w:val="00BD3DAB"/>
    <w:rsid w:val="00BE251B"/>
    <w:rsid w:val="00C269FF"/>
    <w:rsid w:val="00C3147F"/>
    <w:rsid w:val="00C42758"/>
    <w:rsid w:val="00C567A5"/>
    <w:rsid w:val="00C57B0D"/>
    <w:rsid w:val="00C86405"/>
    <w:rsid w:val="00C907FA"/>
    <w:rsid w:val="00C943BD"/>
    <w:rsid w:val="00CA2160"/>
    <w:rsid w:val="00CB129E"/>
    <w:rsid w:val="00CB5E53"/>
    <w:rsid w:val="00CB6AA3"/>
    <w:rsid w:val="00CB6B53"/>
    <w:rsid w:val="00CD1AD6"/>
    <w:rsid w:val="00CD669C"/>
    <w:rsid w:val="00CF08F8"/>
    <w:rsid w:val="00CF2671"/>
    <w:rsid w:val="00D05553"/>
    <w:rsid w:val="00D14729"/>
    <w:rsid w:val="00D16EB1"/>
    <w:rsid w:val="00D239A8"/>
    <w:rsid w:val="00D275F1"/>
    <w:rsid w:val="00D417AD"/>
    <w:rsid w:val="00D60D9B"/>
    <w:rsid w:val="00D70274"/>
    <w:rsid w:val="00D73B10"/>
    <w:rsid w:val="00DA149F"/>
    <w:rsid w:val="00DB46EE"/>
    <w:rsid w:val="00DC1456"/>
    <w:rsid w:val="00DD7135"/>
    <w:rsid w:val="00DE0F1E"/>
    <w:rsid w:val="00DE6061"/>
    <w:rsid w:val="00DF3A52"/>
    <w:rsid w:val="00E0498A"/>
    <w:rsid w:val="00E12997"/>
    <w:rsid w:val="00E34B99"/>
    <w:rsid w:val="00E35248"/>
    <w:rsid w:val="00E4513C"/>
    <w:rsid w:val="00E6419C"/>
    <w:rsid w:val="00E72599"/>
    <w:rsid w:val="00E94B53"/>
    <w:rsid w:val="00EC2CAA"/>
    <w:rsid w:val="00EE00F3"/>
    <w:rsid w:val="00F12917"/>
    <w:rsid w:val="00F167F2"/>
    <w:rsid w:val="00F17B45"/>
    <w:rsid w:val="00F61F17"/>
    <w:rsid w:val="00F739BB"/>
    <w:rsid w:val="00F95E03"/>
    <w:rsid w:val="00FB48BC"/>
    <w:rsid w:val="00FC6F8E"/>
    <w:rsid w:val="00FC731A"/>
    <w:rsid w:val="00FE20C8"/>
    <w:rsid w:val="00FE2EAD"/>
    <w:rsid w:val="00FE7759"/>
    <w:rsid w:val="00FF1D5A"/>
    <w:rsid w:val="00FF5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E3D60-08C6-4577-B837-A8A3CF50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FA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905FA2"/>
    <w:pPr>
      <w:spacing w:before="64" w:after="64"/>
      <w:ind w:firstLine="319"/>
      <w:jc w:val="both"/>
    </w:pPr>
    <w:rPr>
      <w:lang w:val="en-US" w:eastAsia="en-US"/>
    </w:rPr>
  </w:style>
  <w:style w:type="paragraph" w:customStyle="1" w:styleId="naisnod">
    <w:name w:val="naisnod"/>
    <w:basedOn w:val="Normal"/>
    <w:rsid w:val="00905FA2"/>
    <w:pPr>
      <w:spacing w:before="150" w:after="150"/>
      <w:jc w:val="center"/>
    </w:pPr>
    <w:rPr>
      <w:b/>
      <w:bCs/>
    </w:rPr>
  </w:style>
  <w:style w:type="paragraph" w:customStyle="1" w:styleId="naiskr">
    <w:name w:val="naiskr"/>
    <w:basedOn w:val="Normal"/>
    <w:rsid w:val="00905FA2"/>
    <w:pPr>
      <w:spacing w:before="75" w:after="75"/>
    </w:pPr>
  </w:style>
  <w:style w:type="character" w:styleId="Hyperlink">
    <w:name w:val="Hyperlink"/>
    <w:rsid w:val="00BE251B"/>
    <w:rPr>
      <w:color w:val="0000FF"/>
      <w:u w:val="single"/>
    </w:rPr>
  </w:style>
  <w:style w:type="paragraph" w:styleId="Header">
    <w:name w:val="header"/>
    <w:basedOn w:val="Normal"/>
    <w:link w:val="HeaderChar"/>
    <w:rsid w:val="00BE251B"/>
    <w:pPr>
      <w:widowControl w:val="0"/>
      <w:tabs>
        <w:tab w:val="center" w:pos="4153"/>
        <w:tab w:val="right" w:pos="8306"/>
      </w:tabs>
      <w:suppressAutoHyphens/>
    </w:pPr>
    <w:rPr>
      <w:rFonts w:eastAsia="Lucida Sans Unicode"/>
      <w:lang w:val="x-none" w:eastAsia="en-US"/>
    </w:rPr>
  </w:style>
  <w:style w:type="character" w:customStyle="1" w:styleId="HeaderChar">
    <w:name w:val="Header Char"/>
    <w:link w:val="Header"/>
    <w:rsid w:val="00BE251B"/>
    <w:rPr>
      <w:rFonts w:ascii="Times New Roman" w:eastAsia="Lucida Sans Unicode" w:hAnsi="Times New Roman"/>
      <w:sz w:val="24"/>
      <w:szCs w:val="24"/>
      <w:lang w:val="x-none" w:eastAsia="en-US"/>
    </w:rPr>
  </w:style>
  <w:style w:type="paragraph" w:customStyle="1" w:styleId="TableContents">
    <w:name w:val="Table Contents"/>
    <w:basedOn w:val="Normal"/>
    <w:rsid w:val="00BE251B"/>
    <w:pPr>
      <w:widowControl w:val="0"/>
      <w:suppressLineNumbers/>
      <w:suppressAutoHyphens/>
    </w:pPr>
    <w:rPr>
      <w:rFonts w:eastAsia="Lucida Sans Unicode" w:cs="Tahoma"/>
      <w:lang w:eastAsia="en-US"/>
    </w:rPr>
  </w:style>
  <w:style w:type="paragraph" w:customStyle="1" w:styleId="tvhtml1">
    <w:name w:val="tv_html1"/>
    <w:basedOn w:val="Normal"/>
    <w:rsid w:val="005454AF"/>
    <w:pPr>
      <w:spacing w:before="100" w:beforeAutospacing="1" w:after="100" w:afterAutospacing="1" w:line="36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921A-4CB6-491F-99F4-C0363107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4263</Words>
  <Characters>2431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Rezekne District Council</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cp:lastModifiedBy>Indra Kroice</cp:lastModifiedBy>
  <cp:revision>4</cp:revision>
  <cp:lastPrinted>2017-01-05T07:33:00Z</cp:lastPrinted>
  <dcterms:created xsi:type="dcterms:W3CDTF">2018-09-21T11:43:00Z</dcterms:created>
  <dcterms:modified xsi:type="dcterms:W3CDTF">2018-09-26T05:36:00Z</dcterms:modified>
</cp:coreProperties>
</file>